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B5E0" w14:textId="3B24120D" w:rsidR="00227075" w:rsidRPr="007B5F8B" w:rsidRDefault="009D737E" w:rsidP="009D737E">
      <w:pPr>
        <w:pStyle w:val="Tytu"/>
        <w:spacing w:after="120" w:line="312" w:lineRule="auto"/>
        <w:ind w:left="-567"/>
        <w:contextualSpacing w:val="0"/>
        <w:jc w:val="center"/>
        <w:rPr>
          <w:rFonts w:asciiTheme="minorHAnsi" w:hAnsiTheme="minorHAnsi" w:cstheme="minorHAnsi"/>
          <w:sz w:val="52"/>
          <w:szCs w:val="52"/>
        </w:rPr>
      </w:pPr>
      <w:r>
        <w:rPr>
          <w:rFonts w:asciiTheme="minorHAnsi" w:hAnsiTheme="minorHAnsi"/>
          <w:noProof/>
          <w:sz w:val="52"/>
        </w:rPr>
        <w:drawing>
          <wp:inline distT="0" distB="0" distL="0" distR="0" wp14:anchorId="4AEDD0AD" wp14:editId="533B03A6">
            <wp:extent cx="5743575" cy="895350"/>
            <wp:effectExtent l="0" t="0" r="9525" b="0"/>
            <wp:docPr id="1315082634" name="Obraz 1" descr="Set of logos: European Funds, National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82634" name="Obraz 1" descr="Set of logos: European Funds, National Colours of the Republic of Poland, European 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895350"/>
                    </a:xfrm>
                    <a:prstGeom prst="rect">
                      <a:avLst/>
                    </a:prstGeom>
                    <a:noFill/>
                    <a:ln>
                      <a:noFill/>
                    </a:ln>
                  </pic:spPr>
                </pic:pic>
              </a:graphicData>
            </a:graphic>
          </wp:inline>
        </w:drawing>
      </w:r>
    </w:p>
    <w:p w14:paraId="3C4926F8" w14:textId="0972DAFA" w:rsidR="00297FE8" w:rsidRPr="007B5F8B" w:rsidRDefault="00297FE8" w:rsidP="00EA6EDA">
      <w:pPr>
        <w:spacing w:after="480" w:line="360" w:lineRule="auto"/>
        <w:rPr>
          <w:rFonts w:cstheme="minorHAnsi"/>
          <w:b/>
          <w:bCs/>
        </w:rPr>
      </w:pPr>
      <w:r>
        <w:rPr>
          <w:sz w:val="28"/>
        </w:rPr>
        <w:t>Appendix to Ordinance No. 0</w:t>
      </w:r>
      <w:r w:rsidR="005E4AAE">
        <w:rPr>
          <w:sz w:val="28"/>
        </w:rPr>
        <w:t>1</w:t>
      </w:r>
      <w:r>
        <w:rPr>
          <w:sz w:val="28"/>
        </w:rPr>
        <w:t>/0</w:t>
      </w:r>
      <w:r w:rsidR="005E4AAE">
        <w:rPr>
          <w:sz w:val="28"/>
        </w:rPr>
        <w:t>5</w:t>
      </w:r>
      <w:r>
        <w:rPr>
          <w:sz w:val="28"/>
        </w:rPr>
        <w:t>/2026 of the Vice-Rector for Education of</w:t>
      </w:r>
      <w:r w:rsidR="00DA1050">
        <w:rPr>
          <w:sz w:val="28"/>
        </w:rPr>
        <w:t> </w:t>
      </w:r>
      <w:r>
        <w:rPr>
          <w:sz w:val="28"/>
        </w:rPr>
        <w:t xml:space="preserve">VIZJA University of </w:t>
      </w:r>
      <w:r w:rsidR="005E4AAE">
        <w:rPr>
          <w:sz w:val="28"/>
        </w:rPr>
        <w:t>25</w:t>
      </w:r>
      <w:r>
        <w:rPr>
          <w:sz w:val="28"/>
        </w:rPr>
        <w:t xml:space="preserve"> </w:t>
      </w:r>
      <w:r w:rsidR="005E4AAE">
        <w:rPr>
          <w:sz w:val="28"/>
        </w:rPr>
        <w:t>May</w:t>
      </w:r>
      <w:r>
        <w:rPr>
          <w:sz w:val="28"/>
        </w:rPr>
        <w:t xml:space="preserve"> 2026</w:t>
      </w:r>
    </w:p>
    <w:p w14:paraId="0403D230" w14:textId="7D4B7BDB" w:rsidR="00227075" w:rsidRPr="007B5F8B" w:rsidRDefault="005F0F78" w:rsidP="00ED258C">
      <w:pPr>
        <w:pStyle w:val="Tytu"/>
        <w:spacing w:before="240" w:after="120" w:line="312" w:lineRule="auto"/>
        <w:contextualSpacing w:val="0"/>
        <w:rPr>
          <w:rFonts w:asciiTheme="minorHAnsi" w:hAnsiTheme="minorHAnsi" w:cstheme="minorHAnsi"/>
          <w:sz w:val="36"/>
          <w:szCs w:val="36"/>
        </w:rPr>
      </w:pPr>
      <w:r>
        <w:rPr>
          <w:rFonts w:asciiTheme="minorHAnsi" w:hAnsiTheme="minorHAnsi"/>
          <w:sz w:val="40"/>
        </w:rPr>
        <w:t xml:space="preserve">Regulations on recruitment and participation in </w:t>
      </w:r>
      <w:bookmarkStart w:id="0" w:name="_Hlk181878150"/>
      <w:bookmarkStart w:id="1" w:name="_Hlk212536387"/>
      <w:r>
        <w:rPr>
          <w:rFonts w:asciiTheme="minorHAnsi" w:hAnsiTheme="minorHAnsi"/>
          <w:sz w:val="40"/>
        </w:rPr>
        <w:t xml:space="preserve">the project titled </w:t>
      </w:r>
      <w:bookmarkStart w:id="2" w:name="_Hlk180653368"/>
      <w:r>
        <w:rPr>
          <w:rFonts w:asciiTheme="minorHAnsi" w:hAnsiTheme="minorHAnsi"/>
          <w:sz w:val="40"/>
        </w:rPr>
        <w:t>„</w:t>
      </w:r>
      <w:bookmarkEnd w:id="0"/>
      <w:bookmarkEnd w:id="2"/>
      <w:proofErr w:type="spellStart"/>
      <w:r>
        <w:rPr>
          <w:rFonts w:asciiTheme="minorHAnsi" w:hAnsiTheme="minorHAnsi"/>
          <w:sz w:val="40"/>
        </w:rPr>
        <w:t>Kierunek</w:t>
      </w:r>
      <w:proofErr w:type="spellEnd"/>
      <w:r>
        <w:rPr>
          <w:rFonts w:asciiTheme="minorHAnsi" w:hAnsiTheme="minorHAnsi"/>
          <w:sz w:val="40"/>
        </w:rPr>
        <w:t xml:space="preserve">: </w:t>
      </w:r>
      <w:proofErr w:type="spellStart"/>
      <w:r>
        <w:rPr>
          <w:rFonts w:asciiTheme="minorHAnsi" w:hAnsiTheme="minorHAnsi"/>
          <w:sz w:val="40"/>
        </w:rPr>
        <w:t>Doskonałość</w:t>
      </w:r>
      <w:proofErr w:type="spellEnd"/>
      <w:r>
        <w:rPr>
          <w:rFonts w:asciiTheme="minorHAnsi" w:hAnsiTheme="minorHAnsi"/>
          <w:sz w:val="40"/>
        </w:rPr>
        <w:t xml:space="preserve"> – </w:t>
      </w:r>
      <w:proofErr w:type="spellStart"/>
      <w:r>
        <w:rPr>
          <w:rFonts w:asciiTheme="minorHAnsi" w:hAnsiTheme="minorHAnsi"/>
          <w:sz w:val="40"/>
        </w:rPr>
        <w:t>Systemowe</w:t>
      </w:r>
      <w:proofErr w:type="spellEnd"/>
      <w:r>
        <w:rPr>
          <w:rFonts w:asciiTheme="minorHAnsi" w:hAnsiTheme="minorHAnsi"/>
          <w:sz w:val="40"/>
        </w:rPr>
        <w:t xml:space="preserve"> </w:t>
      </w:r>
      <w:proofErr w:type="spellStart"/>
      <w:r>
        <w:rPr>
          <w:rFonts w:asciiTheme="minorHAnsi" w:hAnsiTheme="minorHAnsi"/>
          <w:sz w:val="40"/>
        </w:rPr>
        <w:t>Wsparcie</w:t>
      </w:r>
      <w:proofErr w:type="spellEnd"/>
      <w:r>
        <w:rPr>
          <w:rFonts w:asciiTheme="minorHAnsi" w:hAnsiTheme="minorHAnsi"/>
          <w:sz w:val="40"/>
        </w:rPr>
        <w:t xml:space="preserve"> </w:t>
      </w:r>
      <w:proofErr w:type="spellStart"/>
      <w:r>
        <w:rPr>
          <w:rFonts w:asciiTheme="minorHAnsi" w:hAnsiTheme="minorHAnsi"/>
          <w:sz w:val="40"/>
        </w:rPr>
        <w:t>Rozwoju</w:t>
      </w:r>
      <w:proofErr w:type="spellEnd"/>
      <w:r>
        <w:rPr>
          <w:rFonts w:asciiTheme="minorHAnsi" w:hAnsiTheme="minorHAnsi"/>
          <w:sz w:val="40"/>
        </w:rPr>
        <w:t xml:space="preserve"> </w:t>
      </w:r>
      <w:proofErr w:type="spellStart"/>
      <w:r>
        <w:rPr>
          <w:rFonts w:asciiTheme="minorHAnsi" w:hAnsiTheme="minorHAnsi"/>
          <w:sz w:val="40"/>
        </w:rPr>
        <w:t>Dydaktycznego</w:t>
      </w:r>
      <w:proofErr w:type="spellEnd"/>
      <w:r>
        <w:rPr>
          <w:rFonts w:asciiTheme="minorHAnsi" w:hAnsiTheme="minorHAnsi"/>
          <w:sz w:val="40"/>
        </w:rPr>
        <w:t xml:space="preserve"> w Uczelni” (Towards Excellence – Systemic Support for the Development of Teaching at the University)</w:t>
      </w:r>
      <w:bookmarkEnd w:id="1"/>
    </w:p>
    <w:p w14:paraId="15C3F67E" w14:textId="77CC50A3" w:rsidR="00891B2D" w:rsidRPr="007B5F8B" w:rsidRDefault="00C61AFE" w:rsidP="00816E40">
      <w:pPr>
        <w:pStyle w:val="Podtytu"/>
        <w:spacing w:before="120" w:after="480" w:line="312" w:lineRule="auto"/>
        <w:rPr>
          <w:rFonts w:cstheme="minorHAnsi"/>
          <w:color w:val="auto"/>
          <w:spacing w:val="10"/>
          <w:sz w:val="24"/>
          <w:szCs w:val="24"/>
        </w:rPr>
      </w:pPr>
      <w:bookmarkStart w:id="3" w:name="_Hlk217025275"/>
      <w:r>
        <w:rPr>
          <w:color w:val="auto"/>
          <w:sz w:val="24"/>
        </w:rPr>
        <w:t>The project is implemented by V</w:t>
      </w:r>
      <w:r w:rsidR="0004290D">
        <w:rPr>
          <w:color w:val="auto"/>
          <w:sz w:val="24"/>
        </w:rPr>
        <w:t>IZJA</w:t>
      </w:r>
      <w:r>
        <w:rPr>
          <w:color w:val="auto"/>
          <w:sz w:val="24"/>
        </w:rPr>
        <w:t xml:space="preserve"> University</w:t>
      </w:r>
      <w:bookmarkEnd w:id="3"/>
      <w:r>
        <w:rPr>
          <w:color w:val="auto"/>
          <w:sz w:val="24"/>
        </w:rPr>
        <w:t xml:space="preserve"> </w:t>
      </w:r>
      <w:bookmarkStart w:id="4" w:name="_Hlk180653415"/>
      <w:r>
        <w:rPr>
          <w:color w:val="auto"/>
          <w:sz w:val="24"/>
        </w:rPr>
        <w:t xml:space="preserve">within the European Funds for Social Development </w:t>
      </w:r>
      <w:proofErr w:type="spellStart"/>
      <w:r>
        <w:rPr>
          <w:color w:val="auto"/>
          <w:sz w:val="24"/>
        </w:rPr>
        <w:t>Programme</w:t>
      </w:r>
      <w:proofErr w:type="spellEnd"/>
      <w:r>
        <w:rPr>
          <w:color w:val="auto"/>
          <w:sz w:val="24"/>
        </w:rPr>
        <w:t xml:space="preserve"> 2021‑2027, co‑financed from the European Social Fund Plus.</w:t>
      </w:r>
      <w:bookmarkEnd w:id="4"/>
    </w:p>
    <w:sdt>
      <w:sdtPr>
        <w:rPr>
          <w:rFonts w:asciiTheme="minorHAnsi" w:eastAsiaTheme="minorHAnsi" w:hAnsiTheme="minorHAnsi" w:cstheme="minorHAnsi"/>
          <w:color w:val="auto"/>
          <w:sz w:val="22"/>
          <w:szCs w:val="22"/>
          <w:lang w:eastAsia="en-US"/>
        </w:rPr>
        <w:id w:val="1757244137"/>
        <w:docPartObj>
          <w:docPartGallery w:val="Table of Contents"/>
          <w:docPartUnique/>
        </w:docPartObj>
      </w:sdtPr>
      <w:sdtEndPr>
        <w:rPr>
          <w:b/>
          <w:bCs/>
        </w:rPr>
      </w:sdtEndPr>
      <w:sdtContent>
        <w:p w14:paraId="48CCC292" w14:textId="56676EFD" w:rsidR="00ED258C" w:rsidRPr="007B5F8B" w:rsidRDefault="00ED258C" w:rsidP="003D41E8">
          <w:pPr>
            <w:pStyle w:val="Nagwekspisutreci"/>
            <w:spacing w:before="0" w:line="360" w:lineRule="auto"/>
            <w:rPr>
              <w:rFonts w:asciiTheme="minorHAnsi" w:hAnsiTheme="minorHAnsi" w:cstheme="minorHAnsi"/>
              <w:color w:val="auto"/>
              <w:sz w:val="24"/>
              <w:szCs w:val="24"/>
            </w:rPr>
          </w:pPr>
          <w:r>
            <w:rPr>
              <w:rFonts w:asciiTheme="minorHAnsi" w:hAnsiTheme="minorHAnsi"/>
              <w:color w:val="auto"/>
              <w:sz w:val="24"/>
            </w:rPr>
            <w:t>Table of contents:</w:t>
          </w:r>
        </w:p>
        <w:p w14:paraId="7F2A6DA9" w14:textId="69A1D0F7" w:rsidR="00112C43" w:rsidRPr="00112C43" w:rsidRDefault="00ED258C">
          <w:pPr>
            <w:pStyle w:val="Spistreci1"/>
            <w:tabs>
              <w:tab w:val="right" w:leader="dot" w:pos="9061"/>
            </w:tabs>
            <w:rPr>
              <w:rFonts w:eastAsiaTheme="minorEastAsia"/>
              <w:noProof/>
              <w:kern w:val="2"/>
              <w:sz w:val="24"/>
              <w:szCs w:val="24"/>
              <w:lang w:val="pl-PL" w:eastAsia="pl-PL"/>
              <w14:ligatures w14:val="standardContextual"/>
            </w:rPr>
          </w:pPr>
          <w:r w:rsidRPr="007B5F8B">
            <w:rPr>
              <w:rFonts w:cstheme="minorHAnsi"/>
              <w:sz w:val="24"/>
            </w:rPr>
            <w:fldChar w:fldCharType="begin"/>
          </w:r>
          <w:r w:rsidRPr="007B5F8B">
            <w:rPr>
              <w:rFonts w:cstheme="minorHAnsi"/>
              <w:sz w:val="24"/>
            </w:rPr>
            <w:instrText xml:space="preserve"> TOC \o "1-3" \h \z \u </w:instrText>
          </w:r>
          <w:r w:rsidRPr="007B5F8B">
            <w:rPr>
              <w:rFonts w:cstheme="minorHAnsi"/>
              <w:sz w:val="24"/>
            </w:rPr>
            <w:fldChar w:fldCharType="separate"/>
          </w:r>
          <w:hyperlink w:anchor="_Toc228786941" w:history="1">
            <w:r w:rsidR="00112C43" w:rsidRPr="00112C43">
              <w:rPr>
                <w:rStyle w:val="Hipercze"/>
                <w:noProof/>
                <w:sz w:val="24"/>
                <w:szCs w:val="24"/>
              </w:rPr>
              <w:t>§ 1 General Provisions</w:t>
            </w:r>
            <w:r w:rsidR="00112C43" w:rsidRPr="00112C43">
              <w:rPr>
                <w:noProof/>
                <w:webHidden/>
                <w:sz w:val="24"/>
                <w:szCs w:val="24"/>
              </w:rPr>
              <w:tab/>
            </w:r>
            <w:r w:rsidR="00112C43" w:rsidRPr="00112C43">
              <w:rPr>
                <w:noProof/>
                <w:webHidden/>
                <w:sz w:val="24"/>
                <w:szCs w:val="24"/>
              </w:rPr>
              <w:fldChar w:fldCharType="begin"/>
            </w:r>
            <w:r w:rsidR="00112C43" w:rsidRPr="00112C43">
              <w:rPr>
                <w:noProof/>
                <w:webHidden/>
                <w:sz w:val="24"/>
                <w:szCs w:val="24"/>
              </w:rPr>
              <w:instrText xml:space="preserve"> PAGEREF _Toc228786941 \h </w:instrText>
            </w:r>
            <w:r w:rsidR="00112C43" w:rsidRPr="00112C43">
              <w:rPr>
                <w:noProof/>
                <w:webHidden/>
                <w:sz w:val="24"/>
                <w:szCs w:val="24"/>
              </w:rPr>
            </w:r>
            <w:r w:rsidR="00112C43" w:rsidRPr="00112C43">
              <w:rPr>
                <w:noProof/>
                <w:webHidden/>
                <w:sz w:val="24"/>
                <w:szCs w:val="24"/>
              </w:rPr>
              <w:fldChar w:fldCharType="separate"/>
            </w:r>
            <w:r w:rsidR="00112C43" w:rsidRPr="00112C43">
              <w:rPr>
                <w:noProof/>
                <w:webHidden/>
                <w:sz w:val="24"/>
                <w:szCs w:val="24"/>
              </w:rPr>
              <w:t>1</w:t>
            </w:r>
            <w:r w:rsidR="00112C43" w:rsidRPr="00112C43">
              <w:rPr>
                <w:noProof/>
                <w:webHidden/>
                <w:sz w:val="24"/>
                <w:szCs w:val="24"/>
              </w:rPr>
              <w:fldChar w:fldCharType="end"/>
            </w:r>
          </w:hyperlink>
        </w:p>
        <w:p w14:paraId="19BDEFF9" w14:textId="7D929EB4"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2" w:history="1">
            <w:r w:rsidRPr="00112C43">
              <w:rPr>
                <w:rStyle w:val="Hipercze"/>
                <w:noProof/>
                <w:sz w:val="24"/>
                <w:szCs w:val="24"/>
              </w:rPr>
              <w:t>§ 2 Scope of provided support</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_Toc228786942 \h </w:instrText>
            </w:r>
            <w:r w:rsidRPr="00112C43">
              <w:rPr>
                <w:noProof/>
                <w:webHidden/>
                <w:sz w:val="24"/>
                <w:szCs w:val="24"/>
              </w:rPr>
            </w:r>
            <w:r w:rsidRPr="00112C43">
              <w:rPr>
                <w:noProof/>
                <w:webHidden/>
                <w:sz w:val="24"/>
                <w:szCs w:val="24"/>
              </w:rPr>
              <w:fldChar w:fldCharType="separate"/>
            </w:r>
            <w:r w:rsidRPr="00112C43">
              <w:rPr>
                <w:noProof/>
                <w:webHidden/>
                <w:sz w:val="24"/>
                <w:szCs w:val="24"/>
              </w:rPr>
              <w:t>4</w:t>
            </w:r>
            <w:r w:rsidRPr="00112C43">
              <w:rPr>
                <w:noProof/>
                <w:webHidden/>
                <w:sz w:val="24"/>
                <w:szCs w:val="24"/>
              </w:rPr>
              <w:fldChar w:fldCharType="end"/>
            </w:r>
          </w:hyperlink>
        </w:p>
        <w:p w14:paraId="26ABD570" w14:textId="1E2435D5"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3" w:history="1">
            <w:r w:rsidRPr="00112C43">
              <w:rPr>
                <w:rStyle w:val="Hipercze"/>
                <w:noProof/>
                <w:sz w:val="24"/>
                <w:szCs w:val="24"/>
              </w:rPr>
              <w:t>§ 3 Objective, assumptions, and target group of the Project</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_Toc228786943 \h </w:instrText>
            </w:r>
            <w:r w:rsidRPr="00112C43">
              <w:rPr>
                <w:noProof/>
                <w:webHidden/>
                <w:sz w:val="24"/>
                <w:szCs w:val="24"/>
              </w:rPr>
            </w:r>
            <w:r w:rsidRPr="00112C43">
              <w:rPr>
                <w:noProof/>
                <w:webHidden/>
                <w:sz w:val="24"/>
                <w:szCs w:val="24"/>
              </w:rPr>
              <w:fldChar w:fldCharType="separate"/>
            </w:r>
            <w:r w:rsidRPr="00112C43">
              <w:rPr>
                <w:noProof/>
                <w:webHidden/>
                <w:sz w:val="24"/>
                <w:szCs w:val="24"/>
              </w:rPr>
              <w:t>7</w:t>
            </w:r>
            <w:r w:rsidRPr="00112C43">
              <w:rPr>
                <w:noProof/>
                <w:webHidden/>
                <w:sz w:val="24"/>
                <w:szCs w:val="24"/>
              </w:rPr>
              <w:fldChar w:fldCharType="end"/>
            </w:r>
          </w:hyperlink>
        </w:p>
        <w:p w14:paraId="2927E316" w14:textId="0E2B7AC8"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4" w:history="1">
            <w:r w:rsidRPr="00112C43">
              <w:rPr>
                <w:rStyle w:val="Hipercze"/>
                <w:noProof/>
                <w:sz w:val="24"/>
                <w:szCs w:val="24"/>
              </w:rPr>
              <w:t>§ 4 Recruitment of Project participants</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_Toc228786944 \h </w:instrText>
            </w:r>
            <w:r w:rsidRPr="00112C43">
              <w:rPr>
                <w:noProof/>
                <w:webHidden/>
                <w:sz w:val="24"/>
                <w:szCs w:val="24"/>
              </w:rPr>
            </w:r>
            <w:r w:rsidRPr="00112C43">
              <w:rPr>
                <w:noProof/>
                <w:webHidden/>
                <w:sz w:val="24"/>
                <w:szCs w:val="24"/>
              </w:rPr>
              <w:fldChar w:fldCharType="separate"/>
            </w:r>
            <w:r w:rsidRPr="00112C43">
              <w:rPr>
                <w:noProof/>
                <w:webHidden/>
                <w:sz w:val="24"/>
                <w:szCs w:val="24"/>
              </w:rPr>
              <w:t>9</w:t>
            </w:r>
            <w:r w:rsidRPr="00112C43">
              <w:rPr>
                <w:noProof/>
                <w:webHidden/>
                <w:sz w:val="24"/>
                <w:szCs w:val="24"/>
              </w:rPr>
              <w:fldChar w:fldCharType="end"/>
            </w:r>
          </w:hyperlink>
        </w:p>
        <w:p w14:paraId="7A3F7BB6" w14:textId="0DB9B6C0"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5" w:history="1">
            <w:r w:rsidRPr="00112C43">
              <w:rPr>
                <w:rStyle w:val="Hipercze"/>
                <w:noProof/>
                <w:sz w:val="24"/>
                <w:szCs w:val="24"/>
              </w:rPr>
              <w:t>§ 5 Organization of the Forms of support</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_Toc228786945 \h </w:instrText>
            </w:r>
            <w:r w:rsidRPr="00112C43">
              <w:rPr>
                <w:noProof/>
                <w:webHidden/>
                <w:sz w:val="24"/>
                <w:szCs w:val="24"/>
              </w:rPr>
            </w:r>
            <w:r w:rsidRPr="00112C43">
              <w:rPr>
                <w:noProof/>
                <w:webHidden/>
                <w:sz w:val="24"/>
                <w:szCs w:val="24"/>
              </w:rPr>
              <w:fldChar w:fldCharType="separate"/>
            </w:r>
            <w:r w:rsidRPr="00112C43">
              <w:rPr>
                <w:noProof/>
                <w:webHidden/>
                <w:sz w:val="24"/>
                <w:szCs w:val="24"/>
              </w:rPr>
              <w:t>14</w:t>
            </w:r>
            <w:r w:rsidRPr="00112C43">
              <w:rPr>
                <w:noProof/>
                <w:webHidden/>
                <w:sz w:val="24"/>
                <w:szCs w:val="24"/>
              </w:rPr>
              <w:fldChar w:fldCharType="end"/>
            </w:r>
          </w:hyperlink>
        </w:p>
        <w:p w14:paraId="7079E236" w14:textId="509777B8"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6" w:history="1">
            <w:r w:rsidRPr="00112C43">
              <w:rPr>
                <w:rStyle w:val="Hipercze"/>
                <w:noProof/>
                <w:sz w:val="24"/>
                <w:szCs w:val="24"/>
              </w:rPr>
              <w:t>§ 6 Rights and obligations of Project participants</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_Toc228786946 \h </w:instrText>
            </w:r>
            <w:r w:rsidRPr="00112C43">
              <w:rPr>
                <w:noProof/>
                <w:webHidden/>
                <w:sz w:val="24"/>
                <w:szCs w:val="24"/>
              </w:rPr>
            </w:r>
            <w:r w:rsidRPr="00112C43">
              <w:rPr>
                <w:noProof/>
                <w:webHidden/>
                <w:sz w:val="24"/>
                <w:szCs w:val="24"/>
              </w:rPr>
              <w:fldChar w:fldCharType="separate"/>
            </w:r>
            <w:r w:rsidRPr="00112C43">
              <w:rPr>
                <w:noProof/>
                <w:webHidden/>
                <w:sz w:val="24"/>
                <w:szCs w:val="24"/>
              </w:rPr>
              <w:t>15</w:t>
            </w:r>
            <w:r w:rsidRPr="00112C43">
              <w:rPr>
                <w:noProof/>
                <w:webHidden/>
                <w:sz w:val="24"/>
                <w:szCs w:val="24"/>
              </w:rPr>
              <w:fldChar w:fldCharType="end"/>
            </w:r>
          </w:hyperlink>
        </w:p>
        <w:p w14:paraId="0EE81D71" w14:textId="5DFB9B58"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7" w:history="1">
            <w:r w:rsidRPr="00112C43">
              <w:rPr>
                <w:rStyle w:val="Hipercze"/>
                <w:noProof/>
                <w:sz w:val="24"/>
                <w:szCs w:val="24"/>
              </w:rPr>
              <w:t>§ 7 Removal from the list, withdrawal from participation in the Project</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_Toc228786947 \h </w:instrText>
            </w:r>
            <w:r w:rsidRPr="00112C43">
              <w:rPr>
                <w:noProof/>
                <w:webHidden/>
                <w:sz w:val="24"/>
                <w:szCs w:val="24"/>
              </w:rPr>
            </w:r>
            <w:r w:rsidRPr="00112C43">
              <w:rPr>
                <w:noProof/>
                <w:webHidden/>
                <w:sz w:val="24"/>
                <w:szCs w:val="24"/>
              </w:rPr>
              <w:fldChar w:fldCharType="separate"/>
            </w:r>
            <w:r w:rsidRPr="00112C43">
              <w:rPr>
                <w:noProof/>
                <w:webHidden/>
                <w:sz w:val="24"/>
                <w:szCs w:val="24"/>
              </w:rPr>
              <w:t>16</w:t>
            </w:r>
            <w:r w:rsidRPr="00112C43">
              <w:rPr>
                <w:noProof/>
                <w:webHidden/>
                <w:sz w:val="24"/>
                <w:szCs w:val="24"/>
              </w:rPr>
              <w:fldChar w:fldCharType="end"/>
            </w:r>
          </w:hyperlink>
        </w:p>
        <w:p w14:paraId="79BE3A36" w14:textId="61A85C1F" w:rsidR="00112C43" w:rsidRPr="00112C43" w:rsidRDefault="00112C43">
          <w:pPr>
            <w:pStyle w:val="Spistreci1"/>
            <w:tabs>
              <w:tab w:val="right" w:leader="dot" w:pos="9061"/>
            </w:tabs>
            <w:rPr>
              <w:rFonts w:eastAsiaTheme="minorEastAsia"/>
              <w:noProof/>
              <w:kern w:val="2"/>
              <w:sz w:val="24"/>
              <w:szCs w:val="24"/>
              <w:lang w:val="pl-PL" w:eastAsia="pl-PL"/>
              <w14:ligatures w14:val="standardContextual"/>
            </w:rPr>
          </w:pPr>
          <w:hyperlink w:anchor="_Toc228786948" w:history="1">
            <w:r w:rsidRPr="00112C43">
              <w:rPr>
                <w:rStyle w:val="Hipercze"/>
                <w:noProof/>
                <w:sz w:val="24"/>
                <w:szCs w:val="24"/>
              </w:rPr>
              <w:t>§</w:t>
            </w:r>
            <w:r>
              <w:rPr>
                <w:rStyle w:val="Hipercze"/>
                <w:noProof/>
                <w:sz w:val="24"/>
                <w:szCs w:val="24"/>
              </w:rPr>
              <w:t xml:space="preserve"> </w:t>
            </w:r>
            <w:r w:rsidRPr="00112C43">
              <w:rPr>
                <w:rStyle w:val="Hipercze"/>
                <w:noProof/>
                <w:sz w:val="24"/>
                <w:szCs w:val="24"/>
              </w:rPr>
              <w:t>8 Final provisions</w:t>
            </w:r>
            <w:r w:rsidRPr="00112C43">
              <w:rPr>
                <w:noProof/>
                <w:webHidden/>
                <w:sz w:val="24"/>
                <w:szCs w:val="24"/>
              </w:rPr>
              <w:tab/>
            </w:r>
            <w:r w:rsidRPr="00112C43">
              <w:rPr>
                <w:noProof/>
                <w:webHidden/>
                <w:sz w:val="24"/>
                <w:szCs w:val="24"/>
              </w:rPr>
              <w:fldChar w:fldCharType="begin"/>
            </w:r>
            <w:r w:rsidRPr="00112C43">
              <w:rPr>
                <w:noProof/>
                <w:webHidden/>
                <w:sz w:val="24"/>
                <w:szCs w:val="24"/>
              </w:rPr>
              <w:instrText xml:space="preserve"> PAGEREF _Toc228786948 \h </w:instrText>
            </w:r>
            <w:r w:rsidRPr="00112C43">
              <w:rPr>
                <w:noProof/>
                <w:webHidden/>
                <w:sz w:val="24"/>
                <w:szCs w:val="24"/>
              </w:rPr>
            </w:r>
            <w:r w:rsidRPr="00112C43">
              <w:rPr>
                <w:noProof/>
                <w:webHidden/>
                <w:sz w:val="24"/>
                <w:szCs w:val="24"/>
              </w:rPr>
              <w:fldChar w:fldCharType="separate"/>
            </w:r>
            <w:r w:rsidRPr="00112C43">
              <w:rPr>
                <w:noProof/>
                <w:webHidden/>
                <w:sz w:val="24"/>
                <w:szCs w:val="24"/>
              </w:rPr>
              <w:t>17</w:t>
            </w:r>
            <w:r w:rsidRPr="00112C43">
              <w:rPr>
                <w:noProof/>
                <w:webHidden/>
                <w:sz w:val="24"/>
                <w:szCs w:val="24"/>
              </w:rPr>
              <w:fldChar w:fldCharType="end"/>
            </w:r>
          </w:hyperlink>
        </w:p>
        <w:p w14:paraId="725132C7" w14:textId="11CC125F" w:rsidR="00ED258C" w:rsidRPr="007B5F8B" w:rsidRDefault="00ED258C" w:rsidP="003D41E8">
          <w:pPr>
            <w:rPr>
              <w:rFonts w:cstheme="minorHAnsi"/>
            </w:rPr>
          </w:pPr>
          <w:r w:rsidRPr="007B5F8B">
            <w:rPr>
              <w:rFonts w:cstheme="minorHAnsi"/>
              <w:sz w:val="24"/>
            </w:rPr>
            <w:fldChar w:fldCharType="end"/>
          </w:r>
        </w:p>
      </w:sdtContent>
    </w:sdt>
    <w:p w14:paraId="5E1219E5" w14:textId="7E9F981C" w:rsidR="00D163E5" w:rsidRPr="007B5F8B" w:rsidRDefault="00891B2D" w:rsidP="00487261">
      <w:pPr>
        <w:pStyle w:val="Nagwek1"/>
        <w:tabs>
          <w:tab w:val="left" w:pos="567"/>
        </w:tabs>
        <w:spacing w:before="360" w:after="80" w:line="360" w:lineRule="auto"/>
        <w:ind w:left="284" w:hanging="284"/>
        <w:rPr>
          <w:rFonts w:asciiTheme="minorHAnsi" w:hAnsiTheme="minorHAnsi" w:cstheme="minorHAnsi"/>
          <w:color w:val="auto"/>
          <w:kern w:val="2"/>
          <w:sz w:val="30"/>
          <w:szCs w:val="30"/>
          <w14:ligatures w14:val="standardContextual"/>
        </w:rPr>
      </w:pPr>
      <w:bookmarkStart w:id="5" w:name="_Toc228786941"/>
      <w:r>
        <w:rPr>
          <w:rFonts w:asciiTheme="minorHAnsi" w:hAnsiTheme="minorHAnsi"/>
          <w:color w:val="auto"/>
          <w:sz w:val="30"/>
        </w:rPr>
        <w:t>§ 1 General Provisions</w:t>
      </w:r>
      <w:bookmarkEnd w:id="5"/>
    </w:p>
    <w:p w14:paraId="277D84EA" w14:textId="1FC21406" w:rsidR="00615B17" w:rsidRPr="007B5F8B" w:rsidRDefault="00D163E5" w:rsidP="00297FE8">
      <w:pPr>
        <w:pStyle w:val="Akapitzlist"/>
        <w:numPr>
          <w:ilvl w:val="0"/>
          <w:numId w:val="1"/>
        </w:numPr>
        <w:spacing w:before="80" w:after="0" w:line="312" w:lineRule="auto"/>
        <w:ind w:left="284" w:hanging="284"/>
        <w:contextualSpacing w:val="0"/>
        <w:rPr>
          <w:rFonts w:eastAsiaTheme="minorEastAsia" w:cstheme="minorHAnsi"/>
          <w:sz w:val="24"/>
          <w:szCs w:val="24"/>
        </w:rPr>
      </w:pPr>
      <w:r w:rsidRPr="00112C43">
        <w:rPr>
          <w:sz w:val="24"/>
          <w:szCs w:val="24"/>
        </w:rPr>
        <w:t xml:space="preserve">These Regulations define the conditions for recruitment </w:t>
      </w:r>
      <w:bookmarkStart w:id="6" w:name="_Hlk180654015"/>
      <w:r w:rsidRPr="00112C43">
        <w:rPr>
          <w:sz w:val="24"/>
          <w:szCs w:val="24"/>
        </w:rPr>
        <w:t>and participation of teaching staff and doctoral candidates of VIZJA University in the project titled „</w:t>
      </w:r>
      <w:proofErr w:type="spellStart"/>
      <w:r w:rsidRPr="00112C43">
        <w:rPr>
          <w:sz w:val="24"/>
          <w:szCs w:val="24"/>
        </w:rPr>
        <w:t>Kierunek</w:t>
      </w:r>
      <w:proofErr w:type="spellEnd"/>
      <w:r w:rsidRPr="00112C43">
        <w:rPr>
          <w:sz w:val="24"/>
          <w:szCs w:val="24"/>
        </w:rPr>
        <w:t xml:space="preserve">: </w:t>
      </w:r>
      <w:proofErr w:type="spellStart"/>
      <w:r w:rsidRPr="00112C43">
        <w:rPr>
          <w:sz w:val="24"/>
          <w:szCs w:val="24"/>
        </w:rPr>
        <w:t>Doskonałość</w:t>
      </w:r>
      <w:proofErr w:type="spellEnd"/>
      <w:r w:rsidRPr="00112C43">
        <w:rPr>
          <w:sz w:val="24"/>
          <w:szCs w:val="24"/>
        </w:rPr>
        <w:t xml:space="preserve"> – </w:t>
      </w:r>
      <w:proofErr w:type="spellStart"/>
      <w:r w:rsidRPr="00112C43">
        <w:rPr>
          <w:sz w:val="24"/>
          <w:szCs w:val="24"/>
        </w:rPr>
        <w:t>Systemowe</w:t>
      </w:r>
      <w:proofErr w:type="spellEnd"/>
      <w:r w:rsidRPr="00112C43">
        <w:rPr>
          <w:sz w:val="24"/>
          <w:szCs w:val="24"/>
        </w:rPr>
        <w:t xml:space="preserve"> </w:t>
      </w:r>
      <w:proofErr w:type="spellStart"/>
      <w:r w:rsidRPr="00112C43">
        <w:rPr>
          <w:sz w:val="24"/>
          <w:szCs w:val="24"/>
        </w:rPr>
        <w:t>Wsparcie</w:t>
      </w:r>
      <w:proofErr w:type="spellEnd"/>
      <w:r w:rsidRPr="00112C43">
        <w:rPr>
          <w:sz w:val="24"/>
          <w:szCs w:val="24"/>
        </w:rPr>
        <w:t xml:space="preserve"> </w:t>
      </w:r>
      <w:proofErr w:type="spellStart"/>
      <w:r w:rsidRPr="00112C43">
        <w:rPr>
          <w:sz w:val="24"/>
          <w:szCs w:val="24"/>
        </w:rPr>
        <w:t>Rozwoju</w:t>
      </w:r>
      <w:proofErr w:type="spellEnd"/>
      <w:r w:rsidRPr="00112C43">
        <w:rPr>
          <w:sz w:val="24"/>
          <w:szCs w:val="24"/>
        </w:rPr>
        <w:t xml:space="preserve"> </w:t>
      </w:r>
      <w:proofErr w:type="spellStart"/>
      <w:r w:rsidRPr="00112C43">
        <w:rPr>
          <w:sz w:val="24"/>
          <w:szCs w:val="24"/>
        </w:rPr>
        <w:t>Dydaktycznego</w:t>
      </w:r>
      <w:proofErr w:type="spellEnd"/>
      <w:r w:rsidRPr="00112C43">
        <w:rPr>
          <w:sz w:val="24"/>
          <w:szCs w:val="24"/>
        </w:rPr>
        <w:t xml:space="preserve"> w Uczelni” (Towards Excellence – Systemic Support for the Development of Teaching at the University)</w:t>
      </w:r>
      <w:r w:rsidR="0004290D">
        <w:rPr>
          <w:sz w:val="24"/>
          <w:szCs w:val="24"/>
        </w:rPr>
        <w:t xml:space="preserve"> </w:t>
      </w:r>
      <w:r w:rsidRPr="00112C43">
        <w:rPr>
          <w:sz w:val="24"/>
          <w:szCs w:val="24"/>
        </w:rPr>
        <w:t xml:space="preserve">(project </w:t>
      </w:r>
      <w:r w:rsidRPr="00112C43">
        <w:rPr>
          <w:sz w:val="24"/>
          <w:szCs w:val="24"/>
        </w:rPr>
        <w:lastRenderedPageBreak/>
        <w:t>no.: FERS.01</w:t>
      </w:r>
      <w:r>
        <w:rPr>
          <w:sz w:val="24"/>
        </w:rPr>
        <w:t>.05-IP.08-0204/25</w:t>
      </w:r>
      <w:r>
        <w:t>), implemented</w:t>
      </w:r>
      <w:bookmarkEnd w:id="6"/>
      <w:r>
        <w:t xml:space="preserve"> under the European Funds for Social Development 2021–2027 </w:t>
      </w:r>
      <w:proofErr w:type="spellStart"/>
      <w:r>
        <w:t>programme</w:t>
      </w:r>
      <w:proofErr w:type="spellEnd"/>
      <w:r>
        <w:t>, co-financed by the European Social Fund Plus.</w:t>
      </w:r>
    </w:p>
    <w:p w14:paraId="22ED7DD6" w14:textId="5B9DE09E" w:rsidR="00582551" w:rsidRPr="007B5F8B" w:rsidRDefault="00891B2D" w:rsidP="00297FE8">
      <w:pPr>
        <w:pStyle w:val="Akapitzlist"/>
        <w:numPr>
          <w:ilvl w:val="0"/>
          <w:numId w:val="1"/>
        </w:numPr>
        <w:spacing w:before="80" w:after="0" w:line="312" w:lineRule="auto"/>
        <w:ind w:left="284" w:hanging="284"/>
        <w:contextualSpacing w:val="0"/>
        <w:rPr>
          <w:rFonts w:cstheme="minorHAnsi"/>
          <w:sz w:val="24"/>
          <w:szCs w:val="24"/>
        </w:rPr>
      </w:pPr>
      <w:r>
        <w:rPr>
          <w:sz w:val="24"/>
        </w:rPr>
        <w:t>Whenever the Regulations refer to:</w:t>
      </w:r>
    </w:p>
    <w:p w14:paraId="4DE6F2DB" w14:textId="1547DAA0" w:rsidR="001369D0" w:rsidRPr="007B5F8B" w:rsidRDefault="00891B2D"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 xml:space="preserve">the Project – this shall mean the project No. FERS.01.05-IP.08-0204/25, co-financed by the European Union under the European Funds for Social Development 2021–2027 </w:t>
      </w:r>
      <w:proofErr w:type="spellStart"/>
      <w:r>
        <w:rPr>
          <w:sz w:val="24"/>
        </w:rPr>
        <w:t>programme</w:t>
      </w:r>
      <w:proofErr w:type="spellEnd"/>
      <w:r>
        <w:rPr>
          <w:sz w:val="24"/>
        </w:rPr>
        <w:t>, co-financed by the European Social Fund Plus;</w:t>
      </w:r>
    </w:p>
    <w:p w14:paraId="7EA272BA" w14:textId="2871A29F" w:rsidR="001369D0" w:rsidRPr="007B5F8B" w:rsidRDefault="004A06BC"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the Project Beneficiary – this shall mean V</w:t>
      </w:r>
      <w:r w:rsidR="0004290D">
        <w:rPr>
          <w:sz w:val="24"/>
        </w:rPr>
        <w:t>IZJA</w:t>
      </w:r>
      <w:r>
        <w:rPr>
          <w:sz w:val="24"/>
        </w:rPr>
        <w:t xml:space="preserve"> University (a non-public higher education institution entered in the register of non-public higher education institutions maintained by the Minister of Science and Higher Education under number 261; registered office: ul. </w:t>
      </w:r>
      <w:proofErr w:type="spellStart"/>
      <w:r>
        <w:rPr>
          <w:sz w:val="24"/>
        </w:rPr>
        <w:t>Okopowa</w:t>
      </w:r>
      <w:proofErr w:type="spellEnd"/>
      <w:r>
        <w:rPr>
          <w:sz w:val="24"/>
        </w:rPr>
        <w:t xml:space="preserve"> 59, 01-043 Warsaw; Tax Identification Number (NIP): 525 22 08 719; REGON: 017280390; the University operates within the system of higher education and science on the basis of the provisions of the Act of 20 July 2018 – Law on Higher Education and Science, and the Statute of V</w:t>
      </w:r>
      <w:r w:rsidR="002433D2">
        <w:rPr>
          <w:sz w:val="24"/>
        </w:rPr>
        <w:t>IZJA</w:t>
      </w:r>
      <w:r>
        <w:rPr>
          <w:sz w:val="24"/>
        </w:rPr>
        <w:t xml:space="preserve"> University);</w:t>
      </w:r>
    </w:p>
    <w:p w14:paraId="52C0E8D1" w14:textId="4ED0078F" w:rsidR="002215A1" w:rsidRPr="007B5F8B" w:rsidRDefault="00454F30" w:rsidP="002215A1">
      <w:pPr>
        <w:pStyle w:val="Akapitzlist"/>
        <w:numPr>
          <w:ilvl w:val="0"/>
          <w:numId w:val="2"/>
        </w:numPr>
        <w:autoSpaceDE w:val="0"/>
        <w:autoSpaceDN w:val="0"/>
        <w:adjustRightInd w:val="0"/>
        <w:spacing w:before="80" w:after="0" w:line="312" w:lineRule="auto"/>
        <w:ind w:left="568" w:hanging="284"/>
        <w:contextualSpacing w:val="0"/>
        <w:rPr>
          <w:rFonts w:cstheme="minorHAnsi"/>
          <w:iCs/>
          <w:sz w:val="24"/>
          <w:szCs w:val="24"/>
        </w:rPr>
      </w:pPr>
      <w:r>
        <w:rPr>
          <w:sz w:val="24"/>
        </w:rPr>
        <w:t>Forms of support</w:t>
      </w:r>
      <w:r w:rsidR="001A2FFF">
        <w:rPr>
          <w:sz w:val="24"/>
        </w:rPr>
        <w:t xml:space="preserve"> – this shall mean:</w:t>
      </w:r>
    </w:p>
    <w:p w14:paraId="3433AE3A" w14:textId="1A19840D" w:rsidR="002215A1" w:rsidRPr="007B5F8B" w:rsidRDefault="000D5CFE" w:rsidP="00351264">
      <w:pPr>
        <w:pStyle w:val="Akapitzlist"/>
        <w:numPr>
          <w:ilvl w:val="0"/>
          <w:numId w:val="23"/>
        </w:numPr>
        <w:autoSpaceDE w:val="0"/>
        <w:autoSpaceDN w:val="0"/>
        <w:adjustRightInd w:val="0"/>
        <w:spacing w:after="0" w:line="312" w:lineRule="auto"/>
        <w:ind w:left="851" w:hanging="284"/>
        <w:contextualSpacing w:val="0"/>
        <w:rPr>
          <w:rFonts w:cstheme="minorHAnsi"/>
          <w:iCs/>
          <w:sz w:val="24"/>
          <w:szCs w:val="24"/>
        </w:rPr>
      </w:pPr>
      <w:r>
        <w:rPr>
          <w:sz w:val="24"/>
        </w:rPr>
        <w:t>mandatory training, i.e., AI in teaching, modern digital tools in teaching – from MS</w:t>
      </w:r>
      <w:r w:rsidR="00DA1050">
        <w:rPr>
          <w:sz w:val="24"/>
        </w:rPr>
        <w:t> </w:t>
      </w:r>
      <w:r>
        <w:rPr>
          <w:sz w:val="24"/>
        </w:rPr>
        <w:t>Teams to Moodle+, practical application of the 7R principle in higher education teaching, universal design in higher education teaching;</w:t>
      </w:r>
    </w:p>
    <w:p w14:paraId="790F142E" w14:textId="79EB0DE6" w:rsidR="0091322B" w:rsidRPr="007B5F8B" w:rsidRDefault="001A6AF1" w:rsidP="00351264">
      <w:pPr>
        <w:pStyle w:val="Akapitzlist"/>
        <w:numPr>
          <w:ilvl w:val="0"/>
          <w:numId w:val="23"/>
        </w:numPr>
        <w:autoSpaceDE w:val="0"/>
        <w:autoSpaceDN w:val="0"/>
        <w:adjustRightInd w:val="0"/>
        <w:spacing w:before="80" w:after="100" w:afterAutospacing="1" w:line="312" w:lineRule="auto"/>
        <w:ind w:left="851" w:hanging="284"/>
        <w:contextualSpacing w:val="0"/>
        <w:rPr>
          <w:rFonts w:cstheme="minorHAnsi"/>
          <w:iCs/>
          <w:sz w:val="24"/>
          <w:szCs w:val="24"/>
        </w:rPr>
      </w:pPr>
      <w:r>
        <w:rPr>
          <w:sz w:val="24"/>
        </w:rPr>
        <w:t>elective training, e.g., use of professional databases, Flipped Classroom, counteracting discrimination and exclusion, specialist English language course (for teaching staff delivering classes in English);</w:t>
      </w:r>
    </w:p>
    <w:p w14:paraId="7331D9B4" w14:textId="408D1832" w:rsidR="00D247C1" w:rsidRPr="007B5F8B" w:rsidRDefault="001A6AF1" w:rsidP="00351264">
      <w:pPr>
        <w:pStyle w:val="Akapitzlist"/>
        <w:numPr>
          <w:ilvl w:val="0"/>
          <w:numId w:val="23"/>
        </w:numPr>
        <w:autoSpaceDE w:val="0"/>
        <w:autoSpaceDN w:val="0"/>
        <w:adjustRightInd w:val="0"/>
        <w:spacing w:before="80" w:after="100" w:afterAutospacing="1" w:line="312" w:lineRule="auto"/>
        <w:ind w:left="851" w:hanging="284"/>
        <w:contextualSpacing w:val="0"/>
        <w:rPr>
          <w:rFonts w:cstheme="minorHAnsi"/>
          <w:iCs/>
          <w:sz w:val="24"/>
          <w:szCs w:val="24"/>
        </w:rPr>
      </w:pPr>
      <w:r>
        <w:rPr>
          <w:sz w:val="24"/>
        </w:rPr>
        <w:t>study visits to foreign academic institutions for teaching staff and doctoral candidates of VIZJA University</w:t>
      </w:r>
      <w:r w:rsidR="00121BA8">
        <w:rPr>
          <w:sz w:val="24"/>
        </w:rPr>
        <w:t>.</w:t>
      </w:r>
    </w:p>
    <w:p w14:paraId="4EAFC45E" w14:textId="51544707" w:rsidR="00724CAD" w:rsidRPr="007B5F8B"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 xml:space="preserve">Teaching/academic staff member – this shall mean a person implementing the educational process, delivering classes and performing other duties related to teaching and research and teaching activities, employed at VIZJA University under an employment contract or a civil law contract, who has cooperated with the University for a period of at least 6 months prior to commencing participation in a </w:t>
      </w:r>
      <w:r w:rsidR="00454F30">
        <w:rPr>
          <w:sz w:val="24"/>
        </w:rPr>
        <w:t>Form of support</w:t>
      </w:r>
      <w:r>
        <w:rPr>
          <w:sz w:val="24"/>
        </w:rPr>
        <w:t xml:space="preserve"> under the Project;</w:t>
      </w:r>
    </w:p>
    <w:p w14:paraId="72BD9CC6" w14:textId="5C29CF12" w:rsidR="009C2D05" w:rsidRPr="007B5F8B" w:rsidRDefault="008E073B"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Doctoral candidate – this shall mean a person enrolled in the University Doctoral School who was admitted to the Doctoral School no later than 30 September 2025, implementing the education program and performing duties resulting from the course of study, regardless of the stage of education;</w:t>
      </w:r>
    </w:p>
    <w:p w14:paraId="3543F149" w14:textId="2CB8701C" w:rsidR="00A43BF7" w:rsidRPr="007B5F8B"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Applicant – this shall mean a person who has undergone the recruitment procedure, intends to participate in the Project, has submitted recruitment documents (constituting Annex No. 1 to these Regulations), and takes part in the recruitment process for the Project;</w:t>
      </w:r>
    </w:p>
    <w:p w14:paraId="0D1320B7" w14:textId="563D312D" w:rsidR="007F68DA" w:rsidRPr="007B5F8B" w:rsidRDefault="007F68DA"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lastRenderedPageBreak/>
        <w:t>Project Staff – this shall mean the staff of the Beneficiary (VIZJA University) implementing tasks within the Project, consisting of: Project Manager, Recruitment and Support Organization Specialist, Head of the Didactic Excellence Office, Specialist for Teaching Evaluation and Staff Competence Development, on the understanding that in the absence of any member of the Project Staff, their tasks may be performed by an employee of the European Projects Department</w:t>
      </w:r>
      <w:r w:rsidR="002A686C">
        <w:rPr>
          <w:sz w:val="24"/>
        </w:rPr>
        <w:t>;</w:t>
      </w:r>
    </w:p>
    <w:p w14:paraId="48B8DC07" w14:textId="4D596455" w:rsidR="00CC1533" w:rsidRPr="007B5F8B" w:rsidRDefault="00EB7F6D"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Recruitment Team – this shall mean a team consisting of: Project Manager, Recruitment and Support Organization Specialist, Head of the Didactic Excellence Office, who are responsible for the conduct of the recruitment process, on the understanding that in the absence of any member of the Recruitment Team, their tasks may be performed by an employee of the European Projects Department</w:t>
      </w:r>
      <w:r w:rsidR="002A686C">
        <w:rPr>
          <w:sz w:val="24"/>
        </w:rPr>
        <w:t>;</w:t>
      </w:r>
    </w:p>
    <w:p w14:paraId="38F7B542" w14:textId="3A1DDDEA" w:rsidR="00A43BF7" w:rsidRPr="007B5F8B"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Project participant – this shall mean a person who has been qualified to participate in the Project and has benefited from at least one Form of support;</w:t>
      </w:r>
    </w:p>
    <w:p w14:paraId="39A5DB5C" w14:textId="6A88A7CF" w:rsidR="00397947" w:rsidRPr="007B5F8B" w:rsidRDefault="003C7C13"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Steering Group – this shall mean the Rector of V</w:t>
      </w:r>
      <w:r w:rsidR="002433D2">
        <w:rPr>
          <w:sz w:val="24"/>
        </w:rPr>
        <w:t>IZJA</w:t>
      </w:r>
      <w:r>
        <w:rPr>
          <w:sz w:val="24"/>
        </w:rPr>
        <w:t xml:space="preserve"> University, the Vice-Rector for Development, the Vice-Rector for Education, and the Managing Director, whose task is to supervise the proper implementation of the Project, monitor the progress of activities, and take strategic decisions concerning the course of the Project;</w:t>
      </w:r>
    </w:p>
    <w:p w14:paraId="10E85E16" w14:textId="4E855F7C" w:rsidR="00397947" w:rsidRPr="007B5F8B" w:rsidRDefault="00397947"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cstheme="minorHAnsi"/>
          <w:iCs/>
          <w:sz w:val="24"/>
          <w:szCs w:val="24"/>
        </w:rPr>
      </w:pPr>
      <w:r>
        <w:rPr>
          <w:sz w:val="24"/>
        </w:rPr>
        <w:t>the Regulations – this shall mean these Regulations.</w:t>
      </w:r>
    </w:p>
    <w:p w14:paraId="597E800B" w14:textId="3C779D01" w:rsidR="00D8676A" w:rsidRPr="004E152C" w:rsidRDefault="00D8676A" w:rsidP="00297FE8">
      <w:pPr>
        <w:pStyle w:val="Akapitzlist"/>
        <w:numPr>
          <w:ilvl w:val="0"/>
          <w:numId w:val="1"/>
        </w:numPr>
        <w:spacing w:before="80" w:after="0" w:line="312" w:lineRule="auto"/>
        <w:ind w:left="284" w:hanging="284"/>
        <w:contextualSpacing w:val="0"/>
        <w:rPr>
          <w:rFonts w:cstheme="minorHAnsi"/>
          <w:sz w:val="24"/>
          <w:szCs w:val="24"/>
        </w:rPr>
      </w:pPr>
      <w:r w:rsidRPr="004E152C">
        <w:rPr>
          <w:sz w:val="24"/>
          <w:szCs w:val="24"/>
        </w:rPr>
        <w:t xml:space="preserve">Detailed information about the Project is available on the </w:t>
      </w:r>
      <w:hyperlink r:id="rId9" w:history="1">
        <w:r w:rsidRPr="004E152C">
          <w:rPr>
            <w:rStyle w:val="Hipercze"/>
            <w:color w:val="0070C0"/>
            <w:sz w:val="24"/>
            <w:szCs w:val="24"/>
          </w:rPr>
          <w:t>website of V</w:t>
        </w:r>
        <w:r w:rsidR="002433D2">
          <w:rPr>
            <w:rStyle w:val="Hipercze"/>
            <w:color w:val="0070C0"/>
            <w:sz w:val="24"/>
            <w:szCs w:val="24"/>
          </w:rPr>
          <w:t>IZJA</w:t>
        </w:r>
        <w:r w:rsidRPr="004E152C">
          <w:rPr>
            <w:rStyle w:val="Hipercze"/>
            <w:color w:val="0070C0"/>
            <w:sz w:val="24"/>
            <w:szCs w:val="24"/>
          </w:rPr>
          <w:t xml:space="preserve"> University, in the section devoted to the project description, </w:t>
        </w:r>
      </w:hyperlink>
      <w:r w:rsidRPr="004E152C">
        <w:rPr>
          <w:sz w:val="24"/>
          <w:szCs w:val="24"/>
        </w:rPr>
        <w:t>and at the Project Office (V</w:t>
      </w:r>
      <w:r w:rsidR="002433D2">
        <w:rPr>
          <w:sz w:val="24"/>
          <w:szCs w:val="24"/>
        </w:rPr>
        <w:t>IZJA</w:t>
      </w:r>
      <w:r w:rsidRPr="004E152C">
        <w:rPr>
          <w:sz w:val="24"/>
          <w:szCs w:val="24"/>
        </w:rPr>
        <w:t xml:space="preserve"> University campus, ul. </w:t>
      </w:r>
      <w:proofErr w:type="spellStart"/>
      <w:r w:rsidRPr="004E152C">
        <w:rPr>
          <w:sz w:val="24"/>
          <w:szCs w:val="24"/>
        </w:rPr>
        <w:t>Okopowa</w:t>
      </w:r>
      <w:proofErr w:type="spellEnd"/>
      <w:r w:rsidRPr="004E152C">
        <w:rPr>
          <w:sz w:val="24"/>
          <w:szCs w:val="24"/>
        </w:rPr>
        <w:t xml:space="preserve"> 59, Warsaw; European Projects Department office, room no. 614; telephone number: 22 53 65 453; e-mail:</w:t>
      </w:r>
      <w:hyperlink r:id="rId10" w:history="1">
        <w:r w:rsidRPr="004E152C">
          <w:rPr>
            <w:rStyle w:val="Hipercze"/>
            <w:color w:val="0070C0"/>
            <w:sz w:val="24"/>
            <w:szCs w:val="24"/>
          </w:rPr>
          <w:t xml:space="preserve"> projektyeuropejskie@vizja.pl</w:t>
        </w:r>
      </w:hyperlink>
      <w:r w:rsidRPr="004E152C">
        <w:rPr>
          <w:sz w:val="24"/>
          <w:szCs w:val="24"/>
        </w:rPr>
        <w:t>; staff available for direct contact from Monday to Friday between 9:00 and 15:00).</w:t>
      </w:r>
    </w:p>
    <w:p w14:paraId="094AE78C" w14:textId="5E4C6334" w:rsidR="00D8676A" w:rsidRPr="004E152C" w:rsidRDefault="00D8676A" w:rsidP="00297FE8">
      <w:pPr>
        <w:pStyle w:val="Akapitzlist"/>
        <w:numPr>
          <w:ilvl w:val="0"/>
          <w:numId w:val="1"/>
        </w:numPr>
        <w:spacing w:before="80" w:after="0" w:line="312" w:lineRule="auto"/>
        <w:ind w:left="284" w:hanging="284"/>
        <w:contextualSpacing w:val="0"/>
        <w:rPr>
          <w:rFonts w:cstheme="minorHAnsi"/>
          <w:sz w:val="24"/>
          <w:szCs w:val="24"/>
        </w:rPr>
      </w:pPr>
      <w:r w:rsidRPr="004E152C">
        <w:rPr>
          <w:sz w:val="24"/>
          <w:szCs w:val="24"/>
        </w:rPr>
        <w:t xml:space="preserve">Detailed information on the European Funds for Social Development 2021–2027 </w:t>
      </w:r>
      <w:proofErr w:type="spellStart"/>
      <w:r w:rsidRPr="004E152C">
        <w:rPr>
          <w:sz w:val="24"/>
          <w:szCs w:val="24"/>
        </w:rPr>
        <w:t>programme</w:t>
      </w:r>
      <w:proofErr w:type="spellEnd"/>
      <w:r w:rsidRPr="004E152C">
        <w:rPr>
          <w:sz w:val="24"/>
          <w:szCs w:val="24"/>
        </w:rPr>
        <w:t xml:space="preserve"> is available on the </w:t>
      </w:r>
      <w:hyperlink r:id="rId11" w:history="1">
        <w:r w:rsidRPr="004E152C">
          <w:rPr>
            <w:rStyle w:val="Hipercze"/>
            <w:color w:val="0070C0"/>
            <w:sz w:val="24"/>
            <w:szCs w:val="24"/>
          </w:rPr>
          <w:t>European Funds for Social Development 2021–2027 website.</w:t>
        </w:r>
      </w:hyperlink>
    </w:p>
    <w:p w14:paraId="1B7078A9" w14:textId="7F5541A7" w:rsidR="00AA4C96" w:rsidRPr="004E152C" w:rsidRDefault="00AA4C96" w:rsidP="00297FE8">
      <w:pPr>
        <w:pStyle w:val="Akapitzlist"/>
        <w:numPr>
          <w:ilvl w:val="0"/>
          <w:numId w:val="1"/>
        </w:numPr>
        <w:spacing w:before="80" w:after="0" w:line="312" w:lineRule="auto"/>
        <w:ind w:left="284" w:hanging="284"/>
        <w:contextualSpacing w:val="0"/>
        <w:rPr>
          <w:rFonts w:cstheme="minorHAnsi"/>
          <w:sz w:val="24"/>
          <w:szCs w:val="24"/>
        </w:rPr>
      </w:pPr>
      <w:r w:rsidRPr="004E152C">
        <w:rPr>
          <w:sz w:val="24"/>
          <w:szCs w:val="24"/>
        </w:rPr>
        <w:t xml:space="preserve">The project support site and the Project Office are located on the campus of VIZJA University at ul. </w:t>
      </w:r>
      <w:proofErr w:type="spellStart"/>
      <w:r w:rsidRPr="004E152C">
        <w:rPr>
          <w:sz w:val="24"/>
          <w:szCs w:val="24"/>
        </w:rPr>
        <w:t>Okopowa</w:t>
      </w:r>
      <w:proofErr w:type="spellEnd"/>
      <w:r w:rsidRPr="004E152C">
        <w:rPr>
          <w:sz w:val="24"/>
          <w:szCs w:val="24"/>
        </w:rPr>
        <w:t xml:space="preserve"> 59 in Warsaw – the building has no architectural barriers that negatively affect project implementation and includes numerous adaptations for persons with disabilities. Information on the architectural accessibility of the Project implementation site is available on the </w:t>
      </w:r>
      <w:hyperlink r:id="rId12" w:history="1">
        <w:r w:rsidRPr="004E152C">
          <w:rPr>
            <w:rStyle w:val="Hipercze"/>
            <w:sz w:val="24"/>
            <w:szCs w:val="24"/>
          </w:rPr>
          <w:t>Project website.</w:t>
        </w:r>
      </w:hyperlink>
    </w:p>
    <w:p w14:paraId="67BB9D11" w14:textId="13AE034A" w:rsidR="00D8676A" w:rsidRPr="004E152C" w:rsidRDefault="00D8676A" w:rsidP="00297FE8">
      <w:pPr>
        <w:pStyle w:val="Akapitzlist"/>
        <w:numPr>
          <w:ilvl w:val="0"/>
          <w:numId w:val="1"/>
        </w:numPr>
        <w:spacing w:before="80" w:after="0" w:line="312" w:lineRule="auto"/>
        <w:ind w:left="284" w:hanging="284"/>
        <w:contextualSpacing w:val="0"/>
        <w:rPr>
          <w:rFonts w:cstheme="minorHAnsi"/>
          <w:sz w:val="24"/>
          <w:szCs w:val="24"/>
        </w:rPr>
      </w:pPr>
      <w:r>
        <w:rPr>
          <w:sz w:val="24"/>
        </w:rPr>
        <w:t>These Regulations, together with the annexes, have been developed taking into account the princip</w:t>
      </w:r>
      <w:r w:rsidRPr="004E152C">
        <w:rPr>
          <w:sz w:val="24"/>
          <w:szCs w:val="24"/>
        </w:rPr>
        <w:t xml:space="preserve">les for creating electronic documents set out in the document entitled “Annex No. 2. Accessibility Standards for the 2021‑2027 Cohesion Policy.” In case of difficulties in reading, understanding, or other specific needs related to the analysis of the documentation content, please report these needs by e-mail to </w:t>
      </w:r>
      <w:hyperlink r:id="rId13" w:history="1">
        <w:r w:rsidRPr="004E152C">
          <w:rPr>
            <w:rStyle w:val="Hipercze"/>
            <w:color w:val="0070C0"/>
            <w:sz w:val="24"/>
            <w:szCs w:val="24"/>
          </w:rPr>
          <w:t>projektyeuropejskie@vizja.pl</w:t>
        </w:r>
      </w:hyperlink>
      <w:r w:rsidRPr="004E152C">
        <w:rPr>
          <w:sz w:val="24"/>
          <w:szCs w:val="24"/>
        </w:rPr>
        <w:t>, by telephone at +48 22 53 65 453, or through direct contact with V</w:t>
      </w:r>
      <w:r w:rsidR="002433D2">
        <w:rPr>
          <w:sz w:val="24"/>
          <w:szCs w:val="24"/>
        </w:rPr>
        <w:t>IZJA</w:t>
      </w:r>
      <w:r w:rsidRPr="004E152C">
        <w:rPr>
          <w:sz w:val="24"/>
          <w:szCs w:val="24"/>
        </w:rPr>
        <w:t xml:space="preserve"> University staff by visiting the Project Office (room no. 614, Monday to Friday between 9:00 and 15:00).</w:t>
      </w:r>
    </w:p>
    <w:p w14:paraId="775BD7F3" w14:textId="3DF626AD" w:rsidR="0084133E" w:rsidRPr="007B5F8B" w:rsidRDefault="00891B2D"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7" w:name="_Toc228786942"/>
      <w:r>
        <w:rPr>
          <w:rFonts w:asciiTheme="minorHAnsi" w:hAnsiTheme="minorHAnsi"/>
          <w:color w:val="auto"/>
          <w:sz w:val="30"/>
        </w:rPr>
        <w:t>§ 2 Scope of provided support</w:t>
      </w:r>
      <w:bookmarkEnd w:id="7"/>
    </w:p>
    <w:p w14:paraId="1978821C" w14:textId="10AC4DF5" w:rsidR="007C1C8F" w:rsidRPr="007B5F8B" w:rsidRDefault="00F30C38" w:rsidP="00297FE8">
      <w:pPr>
        <w:pStyle w:val="Akapitzlist"/>
        <w:numPr>
          <w:ilvl w:val="0"/>
          <w:numId w:val="4"/>
        </w:numPr>
        <w:spacing w:after="80" w:line="312" w:lineRule="auto"/>
        <w:ind w:left="284" w:hanging="284"/>
        <w:contextualSpacing w:val="0"/>
        <w:rPr>
          <w:rFonts w:cstheme="minorHAnsi"/>
          <w:sz w:val="24"/>
          <w:szCs w:val="24"/>
        </w:rPr>
      </w:pPr>
      <w:r>
        <w:rPr>
          <w:sz w:val="24"/>
        </w:rPr>
        <w:t>Forms of support are provided within the Project implemented on the basis of the project co-financing agreement concluded between V</w:t>
      </w:r>
      <w:r w:rsidR="002433D2">
        <w:rPr>
          <w:sz w:val="24"/>
        </w:rPr>
        <w:t>IZJA</w:t>
      </w:r>
      <w:r>
        <w:rPr>
          <w:sz w:val="24"/>
        </w:rPr>
        <w:t xml:space="preserve"> University and the National Centre for Research and Development (ul. </w:t>
      </w:r>
      <w:proofErr w:type="spellStart"/>
      <w:r>
        <w:rPr>
          <w:sz w:val="24"/>
        </w:rPr>
        <w:t>Chmielna</w:t>
      </w:r>
      <w:proofErr w:type="spellEnd"/>
      <w:r>
        <w:rPr>
          <w:sz w:val="24"/>
        </w:rPr>
        <w:t xml:space="preserve"> 69, 00-801 Warsaw).</w:t>
      </w:r>
    </w:p>
    <w:p w14:paraId="7695AE46" w14:textId="1E878C57" w:rsidR="00BA77EB" w:rsidRPr="007B5F8B" w:rsidRDefault="00454F30" w:rsidP="00297FE8">
      <w:pPr>
        <w:pStyle w:val="Akapitzlist"/>
        <w:numPr>
          <w:ilvl w:val="0"/>
          <w:numId w:val="4"/>
        </w:numPr>
        <w:spacing w:after="80" w:line="312" w:lineRule="auto"/>
        <w:ind w:left="284" w:hanging="284"/>
        <w:contextualSpacing w:val="0"/>
        <w:rPr>
          <w:rFonts w:cstheme="minorHAnsi"/>
          <w:sz w:val="24"/>
          <w:szCs w:val="24"/>
        </w:rPr>
      </w:pPr>
      <w:r>
        <w:rPr>
          <w:sz w:val="24"/>
        </w:rPr>
        <w:t>Forms of support</w:t>
      </w:r>
      <w:r w:rsidR="00F17854">
        <w:rPr>
          <w:sz w:val="24"/>
        </w:rPr>
        <w:t xml:space="preserve"> are addressed to teaching staff members and doctoral candidates of VIZJA University who, during the period in which such support is provided, participate in the educational process and in the implementation of teaching and research and teaching tasks. The aim of the support is to develop the teaching, digital, environmental, equality-related, language, and methodological competences of teaching staff members and doctoral candidates, as well as to enhance the quality of the educational process through the implementation of modern teaching methods, digital tools, and solutions that promote equality, accessibility, and sustainable development. The Project activities include, in particular, the identification of training needs of teaching staff members and doctoral candidates, the implementation of a comprehensive competence development program, and the dissemination of good practices in the field of innovative teaching methods and the quality of academic teaching.</w:t>
      </w:r>
    </w:p>
    <w:p w14:paraId="7317AC38" w14:textId="09702B39" w:rsidR="008925A9" w:rsidRPr="007B5F8B" w:rsidRDefault="00BA77EB" w:rsidP="00BA77EB">
      <w:pPr>
        <w:pStyle w:val="Akapitzlist"/>
        <w:spacing w:after="80" w:line="312" w:lineRule="auto"/>
        <w:ind w:left="284"/>
        <w:contextualSpacing w:val="0"/>
        <w:rPr>
          <w:rFonts w:cstheme="minorHAnsi"/>
          <w:sz w:val="24"/>
          <w:szCs w:val="24"/>
        </w:rPr>
      </w:pPr>
      <w:r>
        <w:rPr>
          <w:b/>
          <w:bCs/>
          <w:sz w:val="24"/>
        </w:rPr>
        <w:t>Mandatory</w:t>
      </w:r>
      <w:r>
        <w:rPr>
          <w:sz w:val="24"/>
        </w:rPr>
        <w:t xml:space="preserve"> Project </w:t>
      </w:r>
      <w:r w:rsidR="00454F30">
        <w:rPr>
          <w:sz w:val="24"/>
        </w:rPr>
        <w:t>Forms of support</w:t>
      </w:r>
      <w:r>
        <w:rPr>
          <w:sz w:val="24"/>
        </w:rPr>
        <w:t>:</w:t>
      </w:r>
    </w:p>
    <w:p w14:paraId="60FF2409" w14:textId="150EEE47" w:rsidR="00A946A2" w:rsidRPr="007B5F8B" w:rsidRDefault="00D751FC"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Training: </w:t>
      </w:r>
      <w:r>
        <w:rPr>
          <w:rFonts w:asciiTheme="minorHAnsi" w:hAnsiTheme="minorHAnsi"/>
        </w:rPr>
        <w:t xml:space="preserve">“AI in teaching – how to effectively use ChatGPT, Copilot, </w:t>
      </w:r>
      <w:proofErr w:type="spellStart"/>
      <w:r>
        <w:rPr>
          <w:rFonts w:asciiTheme="minorHAnsi" w:hAnsiTheme="minorHAnsi"/>
        </w:rPr>
        <w:t>DeepL</w:t>
      </w:r>
      <w:proofErr w:type="spellEnd"/>
      <w:r>
        <w:rPr>
          <w:rFonts w:asciiTheme="minorHAnsi" w:hAnsiTheme="minorHAnsi"/>
        </w:rPr>
        <w:t xml:space="preserve"> and other tools in higher education teaching” – developing digital competences for teaching staff members and doctoral candidates in the field of practical application of artificial intelligence in higher education.</w:t>
      </w:r>
      <w:r>
        <w:rPr>
          <w:rFonts w:asciiTheme="minorHAnsi" w:hAnsiTheme="minorHAnsi"/>
          <w:color w:val="auto"/>
        </w:rPr>
        <w:t xml:space="preserve"> The program includes an introduction to AI in teaching and the use of tools such as ChatGPT and Microsoft Copilot in lesson planning and delivery. Participants will also learn about AI as a support tool for students (including </w:t>
      </w:r>
      <w:proofErr w:type="spellStart"/>
      <w:r>
        <w:rPr>
          <w:rFonts w:asciiTheme="minorHAnsi" w:hAnsiTheme="minorHAnsi"/>
          <w:color w:val="auto"/>
        </w:rPr>
        <w:t>DeepL</w:t>
      </w:r>
      <w:proofErr w:type="spellEnd"/>
      <w:r>
        <w:rPr>
          <w:rFonts w:asciiTheme="minorHAnsi" w:hAnsiTheme="minorHAnsi"/>
          <w:color w:val="auto"/>
        </w:rPr>
        <w:t>, Grammarly, Notion AI). The training addresses ethical principles and limitations of AI use in the academic environment and teaches how to create effective prompts and use AI in the evaluation process</w:t>
      </w:r>
      <w:r w:rsidR="002A686C">
        <w:rPr>
          <w:rFonts w:asciiTheme="minorHAnsi" w:hAnsiTheme="minorHAnsi"/>
          <w:color w:val="auto"/>
        </w:rPr>
        <w:t>;</w:t>
      </w:r>
    </w:p>
    <w:p w14:paraId="7EECB76D" w14:textId="0C6E84C6" w:rsidR="00A946A2" w:rsidRPr="007B5F8B" w:rsidRDefault="00D751FC"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“Modern digital tools in teaching – from MS Teams to Moodle+” – developing teaching competences for teaching staff members and doctoral candidates in the area of effective use of online educational environments. The program includes the practical use of Microsoft Teams as a teaching platform and Microsoft 365 tools (including Microsoft OneNote, Microsoft Forms, Microsoft Whiteboard, Microsoft Stream) in the organization and delivery of classes.</w:t>
      </w:r>
      <w:r>
        <w:rPr>
          <w:rFonts w:asciiTheme="minorHAnsi" w:hAnsiTheme="minorHAnsi"/>
          <w:color w:val="auto"/>
        </w:rPr>
        <w:br/>
        <w:t xml:space="preserve">Project participants will become familiar with the advanced functionalities of the </w:t>
      </w:r>
      <w:r>
        <w:rPr>
          <w:rFonts w:asciiTheme="minorHAnsi" w:hAnsiTheme="minorHAnsi"/>
          <w:color w:val="auto"/>
        </w:rPr>
        <w:lastRenderedPageBreak/>
        <w:t>Moodle+ platform, integration possibilities of tools, and course personalization.</w:t>
      </w:r>
      <w:r>
        <w:rPr>
          <w:rFonts w:asciiTheme="minorHAnsi" w:hAnsiTheme="minorHAnsi"/>
          <w:color w:val="auto"/>
        </w:rPr>
        <w:br/>
        <w:t>The training also covers the management of online and hybrid classes, as well as solutions supporting automation and increased work efficiency</w:t>
      </w:r>
      <w:r w:rsidR="002A686C">
        <w:rPr>
          <w:rFonts w:asciiTheme="minorHAnsi" w:hAnsiTheme="minorHAnsi"/>
          <w:color w:val="auto"/>
        </w:rPr>
        <w:t>;</w:t>
      </w:r>
    </w:p>
    <w:p w14:paraId="2525AA5C" w14:textId="196D131D" w:rsidR="00681201" w:rsidRPr="007B5F8B" w:rsidRDefault="00681201"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“Practical application of the 7R principle in higher education teaching” – developing competences for green transition for teaching staff members and doctoral candidates in the area of implementing sustainable development principles in the educational process. The program is based on the practical application of the 7R concept (Rethink, Recycle, Reduce, Recover, Reuse, Repurpose, Refuse) as a tool for designing classes and teaching materials in line with the green transition.</w:t>
      </w:r>
      <w:r>
        <w:rPr>
          <w:rFonts w:asciiTheme="minorHAnsi" w:hAnsiTheme="minorHAnsi"/>
          <w:color w:val="auto"/>
        </w:rPr>
        <w:br/>
        <w:t>The training shows how to integrate environmental responsibility with curriculum content, teaching methods, and the organization of work with students. The aim is to develop concrete solutions supporting the building of pro-environmental attitudes in higher education</w:t>
      </w:r>
      <w:r w:rsidR="002A686C">
        <w:rPr>
          <w:rFonts w:asciiTheme="minorHAnsi" w:hAnsiTheme="minorHAnsi"/>
          <w:color w:val="auto"/>
        </w:rPr>
        <w:t>;</w:t>
      </w:r>
    </w:p>
    <w:p w14:paraId="57539B47" w14:textId="2E48C60A" w:rsidR="00A946A2" w:rsidRPr="007B5F8B" w:rsidRDefault="00681201"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“Principles of universal design in higher education teaching” – developing universal design competences for teaching staff members and doctoral candidates in the area of creating an accessible and inclusive learning environment. The program is based on the practical implementation of the 7 principles of universal design (including equitable use, flexibility in use, simple and intuitive use, perceptible information, tolerance for error, low physical effort, and appropriate size and space for approach and use). The aim is to increase the accessibility, clarity, and effectiveness of the teaching process in higher education.</w:t>
      </w:r>
    </w:p>
    <w:p w14:paraId="208CA810" w14:textId="0B3227DB" w:rsidR="003B3FCA" w:rsidRPr="007B5F8B" w:rsidRDefault="00B16DE9" w:rsidP="003B3FCA">
      <w:pPr>
        <w:pStyle w:val="Akapitzlist"/>
        <w:spacing w:after="80" w:line="312" w:lineRule="auto"/>
        <w:ind w:left="284"/>
        <w:contextualSpacing w:val="0"/>
        <w:rPr>
          <w:rFonts w:cstheme="minorHAnsi"/>
          <w:b/>
          <w:bCs/>
          <w:sz w:val="24"/>
          <w:szCs w:val="24"/>
        </w:rPr>
      </w:pPr>
      <w:r>
        <w:rPr>
          <w:b/>
          <w:bCs/>
          <w:sz w:val="24"/>
        </w:rPr>
        <w:t>Elective</w:t>
      </w:r>
      <w:r>
        <w:rPr>
          <w:sz w:val="24"/>
        </w:rPr>
        <w:t xml:space="preserve"> Project </w:t>
      </w:r>
      <w:r w:rsidR="00454F30">
        <w:rPr>
          <w:sz w:val="24"/>
        </w:rPr>
        <w:t>Forms of support</w:t>
      </w:r>
      <w:r>
        <w:rPr>
          <w:sz w:val="24"/>
        </w:rPr>
        <w:t>:</w:t>
      </w:r>
    </w:p>
    <w:p w14:paraId="6D1C21C3" w14:textId="21DCD555" w:rsidR="00E81BF8" w:rsidRPr="007B5F8B" w:rsidRDefault="00E81BF8"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“Use of professional databases and their application in the educational process” – developing competences of teaching staff members and doctoral candidates in the area of effective searching, selection, and use of reliable scientific sources in teaching. The aim is to improve the quality of education by basing the teaching process on reliable and up-to-date scientific data</w:t>
      </w:r>
      <w:r w:rsidR="002A686C">
        <w:rPr>
          <w:rFonts w:asciiTheme="minorHAnsi" w:hAnsiTheme="minorHAnsi"/>
          <w:color w:val="auto"/>
        </w:rPr>
        <w:t>;</w:t>
      </w:r>
    </w:p>
    <w:p w14:paraId="713573A4" w14:textId="4A0023A7" w:rsidR="003B3FCA" w:rsidRPr="007B5F8B" w:rsidRDefault="00E81BF8"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“Preparation and delivery of classes using the Flipped Classroom method” – developing competences of teaching staff members and doctoral candidates in the area of designing and implementing classes in the flipped learning model. Project participants learn how to organize and conduct active classes based on discussion, problem analysis, and teamwork; the training also presents technologies supporting this teaching model. The aim of the training is to improve the quality of teaching by integrating modern active learning methods and providing practical preparation for delivering classes in this model</w:t>
      </w:r>
      <w:r w:rsidR="002A686C">
        <w:rPr>
          <w:rFonts w:asciiTheme="minorHAnsi" w:hAnsiTheme="minorHAnsi"/>
          <w:color w:val="auto"/>
        </w:rPr>
        <w:t>;</w:t>
      </w:r>
    </w:p>
    <w:p w14:paraId="23C0D23D" w14:textId="6A87CBB4" w:rsidR="003B3FCA" w:rsidRPr="007B5F8B" w:rsidRDefault="00A416C6"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“Equality in diversity – counteracting discrimination and exclusion in teaching” – developing competences of teaching staff members and doctoral candidates in the </w:t>
      </w:r>
      <w:r>
        <w:rPr>
          <w:rFonts w:asciiTheme="minorHAnsi" w:hAnsiTheme="minorHAnsi"/>
          <w:color w:val="auto"/>
        </w:rPr>
        <w:lastRenderedPageBreak/>
        <w:t>area of creating a fair and inclusive educational environment. It covers the foundations of equality and diversity in education, as well as practical ways of responding to cases of discrimination and exclusion. The training aims to raise awareness, promote positive attitudes, and build a culture of education based on respect and equal treatment of all persons participating in the educational process</w:t>
      </w:r>
      <w:r w:rsidR="002A686C">
        <w:rPr>
          <w:rFonts w:asciiTheme="minorHAnsi" w:hAnsiTheme="minorHAnsi"/>
          <w:color w:val="auto"/>
        </w:rPr>
        <w:t>;</w:t>
      </w:r>
    </w:p>
    <w:p w14:paraId="69A8BBDC" w14:textId="59C0724E" w:rsidR="006D7CAB" w:rsidRPr="005C6DAE" w:rsidRDefault="00A53646"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Specialist English language course – vocabulary and expressions related to the higher education teaching process (for teaching staff members delivering classes in English) – developing language competences necessary for the professional delivery of academic classes in English. It focuses on improving fluency and precision of expression, developing the ability to moderate discussions, explain complex issues, and provide feedback. The aim of the training is to increase the language confidence of teaching staff members and doctoral candidates and to improve the quality of education in an international environment.</w:t>
      </w:r>
    </w:p>
    <w:p w14:paraId="0C9EEFFF" w14:textId="347431FA" w:rsidR="005C6DAE" w:rsidRPr="007B5F8B" w:rsidRDefault="005C6DAE" w:rsidP="005C6DAE">
      <w:pPr>
        <w:pStyle w:val="Default"/>
        <w:spacing w:after="80" w:line="312" w:lineRule="auto"/>
        <w:ind w:left="284"/>
        <w:rPr>
          <w:rFonts w:asciiTheme="minorHAnsi" w:hAnsiTheme="minorHAnsi" w:cstheme="minorHAnsi"/>
          <w:color w:val="auto"/>
        </w:rPr>
      </w:pPr>
      <w:r>
        <w:rPr>
          <w:rFonts w:asciiTheme="minorHAnsi" w:hAnsiTheme="minorHAnsi" w:cstheme="minorHAnsi"/>
          <w:color w:val="auto"/>
        </w:rPr>
        <w:t>Elective training courses are intended for persons who have completed 4 mandatory training courses provided within the project.</w:t>
      </w:r>
    </w:p>
    <w:p w14:paraId="7F3EA2D5" w14:textId="20098AB5" w:rsidR="00B16DE9" w:rsidRPr="007B5F8B" w:rsidRDefault="00B16DE9" w:rsidP="00B16DE9">
      <w:pPr>
        <w:pStyle w:val="Akapitzlist"/>
        <w:spacing w:after="80" w:line="312" w:lineRule="auto"/>
        <w:ind w:left="284"/>
        <w:contextualSpacing w:val="0"/>
        <w:rPr>
          <w:rFonts w:cstheme="minorHAnsi"/>
          <w:b/>
          <w:bCs/>
          <w:sz w:val="24"/>
          <w:szCs w:val="24"/>
        </w:rPr>
      </w:pPr>
      <w:r>
        <w:rPr>
          <w:b/>
          <w:sz w:val="24"/>
        </w:rPr>
        <w:t>Study visits to foreign academic institutions:</w:t>
      </w:r>
    </w:p>
    <w:p w14:paraId="0B438B62" w14:textId="1D3B1879" w:rsidR="00B16DE9" w:rsidRPr="007B5F8B" w:rsidRDefault="008C4A29"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Pollenzo</w:t>
      </w:r>
      <w:proofErr w:type="spellEnd"/>
      <w:r>
        <w:rPr>
          <w:rFonts w:asciiTheme="minorHAnsi" w:hAnsiTheme="minorHAnsi"/>
          <w:color w:val="auto"/>
        </w:rPr>
        <w:t xml:space="preserve"> University of Gastronomic Sciences, Italy – 2027;</w:t>
      </w:r>
    </w:p>
    <w:p w14:paraId="78DED5AA" w14:textId="0343C1F3" w:rsidR="001A3C5A" w:rsidRPr="007B5F8B" w:rsidRDefault="001A3C5A"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Pollenzo</w:t>
      </w:r>
      <w:proofErr w:type="spellEnd"/>
      <w:r>
        <w:rPr>
          <w:rFonts w:asciiTheme="minorHAnsi" w:hAnsiTheme="minorHAnsi"/>
          <w:color w:val="auto"/>
        </w:rPr>
        <w:t xml:space="preserve"> University of Gastronomic Sciences, Italy – 2028;</w:t>
      </w:r>
    </w:p>
    <w:p w14:paraId="05DBA3B0" w14:textId="2CF916AC" w:rsidR="001A3C5A" w:rsidRPr="007B5F8B" w:rsidRDefault="001A3C5A"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University of Split, Croatia – 2027;</w:t>
      </w:r>
    </w:p>
    <w:p w14:paraId="2A92BA60" w14:textId="0C8B81BD" w:rsidR="008C4A29" w:rsidRPr="007B5F8B" w:rsidRDefault="008C4A29"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University of Split, Croatia – 2028;</w:t>
      </w:r>
    </w:p>
    <w:p w14:paraId="1B63886A" w14:textId="6577B1C3" w:rsidR="008C4A29" w:rsidRPr="007B5F8B" w:rsidRDefault="008C4A29"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Luarasi</w:t>
      </w:r>
      <w:proofErr w:type="spellEnd"/>
      <w:r>
        <w:rPr>
          <w:rFonts w:asciiTheme="minorHAnsi" w:hAnsiTheme="minorHAnsi"/>
          <w:color w:val="auto"/>
        </w:rPr>
        <w:t xml:space="preserve"> University, Albania – 2027;</w:t>
      </w:r>
    </w:p>
    <w:p w14:paraId="74CC4AE9" w14:textId="256C155B" w:rsidR="002D06ED" w:rsidRPr="007B5F8B" w:rsidRDefault="002D06ED"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Luarasi</w:t>
      </w:r>
      <w:proofErr w:type="spellEnd"/>
      <w:r>
        <w:rPr>
          <w:rFonts w:asciiTheme="minorHAnsi" w:hAnsiTheme="minorHAnsi"/>
          <w:color w:val="auto"/>
        </w:rPr>
        <w:t xml:space="preserve"> University, Albania – 2028;</w:t>
      </w:r>
    </w:p>
    <w:p w14:paraId="52588BD5" w14:textId="5282A832" w:rsidR="002D06ED" w:rsidRPr="007B5F8B" w:rsidRDefault="002D06ED"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Khazar University, Azerbaijan – 2027;</w:t>
      </w:r>
    </w:p>
    <w:p w14:paraId="29994331" w14:textId="38382D63" w:rsidR="008C4A29" w:rsidRPr="007B5F8B" w:rsidRDefault="008C4A29"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Khazar University, Azerbaijan – 2028;</w:t>
      </w:r>
    </w:p>
    <w:p w14:paraId="409D1BFE" w14:textId="0DFE36DB" w:rsidR="008C4A29" w:rsidRPr="007B5F8B" w:rsidRDefault="008C4A29" w:rsidP="00351264">
      <w:pPr>
        <w:pStyle w:val="Default"/>
        <w:numPr>
          <w:ilvl w:val="0"/>
          <w:numId w:val="11"/>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Istanbul Bilgi University, Türkiye – 2027;</w:t>
      </w:r>
    </w:p>
    <w:p w14:paraId="280AD20D" w14:textId="3DEDB683" w:rsidR="002D06ED" w:rsidRPr="007B5F8B" w:rsidRDefault="002D06ED" w:rsidP="00351264">
      <w:pPr>
        <w:pStyle w:val="Default"/>
        <w:numPr>
          <w:ilvl w:val="0"/>
          <w:numId w:val="11"/>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Istanbul Bilgi University, Türkiye – 2028;</w:t>
      </w:r>
    </w:p>
    <w:p w14:paraId="3FE01E5D" w14:textId="737FF80F" w:rsidR="00347ADE" w:rsidRPr="007B5F8B" w:rsidRDefault="008C4A29"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Arizona State University, United States – 2027;</w:t>
      </w:r>
    </w:p>
    <w:p w14:paraId="39067584" w14:textId="0F5C4D17" w:rsidR="002D06ED" w:rsidRPr="007B5F8B" w:rsidRDefault="002D06ED" w:rsidP="00351264">
      <w:pPr>
        <w:pStyle w:val="Default"/>
        <w:numPr>
          <w:ilvl w:val="0"/>
          <w:numId w:val="11"/>
        </w:numPr>
        <w:spacing w:after="80" w:line="312" w:lineRule="auto"/>
        <w:ind w:left="567" w:hanging="283"/>
        <w:rPr>
          <w:rFonts w:asciiTheme="minorHAnsi" w:hAnsiTheme="minorHAnsi" w:cstheme="minorHAnsi"/>
          <w:color w:val="auto"/>
        </w:rPr>
      </w:pPr>
      <w:r>
        <w:rPr>
          <w:rFonts w:asciiTheme="minorHAnsi" w:hAnsiTheme="minorHAnsi"/>
          <w:color w:val="auto"/>
        </w:rPr>
        <w:t>Study visit to Arizona State University, United States – 2028.</w:t>
      </w:r>
    </w:p>
    <w:p w14:paraId="7F0B376E" w14:textId="3E62322A" w:rsidR="008C4A29" w:rsidRPr="007B5F8B" w:rsidRDefault="00347ADE" w:rsidP="00347ADE">
      <w:pPr>
        <w:pStyle w:val="Default"/>
        <w:spacing w:after="80" w:line="312" w:lineRule="auto"/>
        <w:ind w:left="284"/>
        <w:rPr>
          <w:rFonts w:asciiTheme="minorHAnsi" w:hAnsiTheme="minorHAnsi" w:cstheme="minorHAnsi"/>
          <w:color w:val="auto"/>
        </w:rPr>
      </w:pPr>
      <w:r>
        <w:rPr>
          <w:rFonts w:asciiTheme="minorHAnsi" w:hAnsiTheme="minorHAnsi"/>
          <w:color w:val="auto"/>
        </w:rPr>
        <w:t xml:space="preserve">Study visits are addressed to 24 teaching staff members and doctoral candidates of VIZJA University who have completed at least four mandatory training sessions provided for in the Project. A total of 12 visits are planned – two at each partner institution (6 visits will take place in 2027 and 6 in 2028). The duration of each study visit is a maximum of 3 days, including travel in both directions; in the case of the United States, an additional 2 days are allocated for travel. Each person may participate in a maximum of one study visit, and the lists of Project participants will be approved by the Vice-Rector for Education. If </w:t>
      </w:r>
      <w:r>
        <w:rPr>
          <w:rFonts w:asciiTheme="minorHAnsi" w:hAnsiTheme="minorHAnsi"/>
          <w:color w:val="auto"/>
        </w:rPr>
        <w:lastRenderedPageBreak/>
        <w:t xml:space="preserve">necessary, the Rector of VIZJA University may replace the Vice-Rector in performing this function. The visits aim to develop new methodological competences, </w:t>
      </w:r>
      <w:proofErr w:type="spellStart"/>
      <w:r>
        <w:rPr>
          <w:rFonts w:asciiTheme="minorHAnsi" w:hAnsiTheme="minorHAnsi"/>
          <w:color w:val="auto"/>
        </w:rPr>
        <w:t>familiarise</w:t>
      </w:r>
      <w:proofErr w:type="spellEnd"/>
      <w:r>
        <w:rPr>
          <w:rFonts w:asciiTheme="minorHAnsi" w:hAnsiTheme="minorHAnsi"/>
          <w:color w:val="auto"/>
        </w:rPr>
        <w:t xml:space="preserve"> participants with educational tools used in practice, and broaden professional perspectives.</w:t>
      </w:r>
    </w:p>
    <w:p w14:paraId="35F53BCB" w14:textId="7275EB3C" w:rsidR="00F17854" w:rsidRPr="007B5F8B" w:rsidRDefault="0038248E" w:rsidP="00297FE8">
      <w:pPr>
        <w:pStyle w:val="Akapitzlist"/>
        <w:numPr>
          <w:ilvl w:val="0"/>
          <w:numId w:val="4"/>
        </w:numPr>
        <w:spacing w:after="80" w:line="312" w:lineRule="auto"/>
        <w:ind w:left="284" w:hanging="284"/>
        <w:contextualSpacing w:val="0"/>
        <w:rPr>
          <w:rFonts w:cstheme="minorHAnsi"/>
          <w:sz w:val="24"/>
          <w:szCs w:val="24"/>
        </w:rPr>
      </w:pPr>
      <w:r>
        <w:rPr>
          <w:sz w:val="24"/>
        </w:rPr>
        <w:t>Types of Forms of support implemented under the Project:</w:t>
      </w:r>
    </w:p>
    <w:p w14:paraId="0B8AC8C1" w14:textId="7533F0B5" w:rsidR="00330030" w:rsidRPr="007B5F8B" w:rsidRDefault="00B16DE9" w:rsidP="00330030">
      <w:pPr>
        <w:pStyle w:val="Akapitzlist"/>
        <w:spacing w:after="80" w:line="312" w:lineRule="auto"/>
        <w:ind w:left="284"/>
        <w:contextualSpacing w:val="0"/>
        <w:rPr>
          <w:rFonts w:cstheme="minorHAnsi"/>
          <w:b/>
          <w:bCs/>
          <w:sz w:val="24"/>
          <w:szCs w:val="24"/>
        </w:rPr>
      </w:pPr>
      <w:r>
        <w:rPr>
          <w:b/>
          <w:sz w:val="24"/>
        </w:rPr>
        <w:t>Mandatory:</w:t>
      </w:r>
    </w:p>
    <w:p w14:paraId="1D75F8EE" w14:textId="202DCCFB" w:rsidR="00327B24" w:rsidRPr="007B5F8B" w:rsidRDefault="00ED0867" w:rsidP="00351264">
      <w:pPr>
        <w:pStyle w:val="Default"/>
        <w:numPr>
          <w:ilvl w:val="0"/>
          <w:numId w:val="24"/>
        </w:numPr>
        <w:spacing w:after="80" w:line="312" w:lineRule="auto"/>
        <w:ind w:left="567" w:hanging="283"/>
        <w:rPr>
          <w:rFonts w:asciiTheme="minorHAnsi" w:eastAsiaTheme="minorEastAsia" w:hAnsiTheme="minorHAnsi" w:cstheme="minorHAnsi"/>
          <w:color w:val="auto"/>
        </w:rPr>
      </w:pPr>
      <w:bookmarkStart w:id="8" w:name="_Hlk212541884"/>
      <w:r>
        <w:rPr>
          <w:rFonts w:asciiTheme="minorHAnsi" w:hAnsiTheme="minorHAnsi"/>
        </w:rPr>
        <w:t xml:space="preserve">Training “AI in teaching – how to effectively use ChatGPT, Copilot, </w:t>
      </w:r>
      <w:proofErr w:type="spellStart"/>
      <w:r>
        <w:rPr>
          <w:rFonts w:asciiTheme="minorHAnsi" w:hAnsiTheme="minorHAnsi"/>
        </w:rPr>
        <w:t>DeepL</w:t>
      </w:r>
      <w:proofErr w:type="spellEnd"/>
      <w:r>
        <w:rPr>
          <w:rFonts w:asciiTheme="minorHAnsi" w:hAnsiTheme="minorHAnsi"/>
        </w:rPr>
        <w:t xml:space="preserve"> and other tools in higher education teaching”;</w:t>
      </w:r>
    </w:p>
    <w:p w14:paraId="16831BDA" w14:textId="36B734E7" w:rsidR="00F17854" w:rsidRPr="007B5F8B" w:rsidRDefault="00ED0867" w:rsidP="00351264">
      <w:pPr>
        <w:pStyle w:val="Default"/>
        <w:numPr>
          <w:ilvl w:val="0"/>
          <w:numId w:val="24"/>
        </w:numPr>
        <w:spacing w:after="80" w:line="312" w:lineRule="auto"/>
        <w:ind w:left="567" w:hanging="283"/>
        <w:rPr>
          <w:rFonts w:asciiTheme="minorHAnsi" w:hAnsiTheme="minorHAnsi" w:cstheme="minorHAnsi"/>
          <w:color w:val="auto"/>
        </w:rPr>
      </w:pPr>
      <w:r>
        <w:rPr>
          <w:rFonts w:asciiTheme="minorHAnsi" w:hAnsiTheme="minorHAnsi"/>
          <w:color w:val="auto"/>
        </w:rPr>
        <w:t>Training “Modern digital tools in teaching – from MS Teams to Moodle+”;</w:t>
      </w:r>
    </w:p>
    <w:p w14:paraId="095171A8" w14:textId="2D755730" w:rsidR="00327B24" w:rsidRPr="007B5F8B" w:rsidRDefault="00ED0867"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Training “Practical application of the 7R principle in higher education teaching”;</w:t>
      </w:r>
    </w:p>
    <w:p w14:paraId="20021CD9" w14:textId="25DD3142" w:rsidR="00C917F6" w:rsidRPr="007B5F8B" w:rsidRDefault="00ED0867"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Training “Principles of universal design in higher education teaching”.</w:t>
      </w:r>
    </w:p>
    <w:p w14:paraId="575AE974" w14:textId="74787913" w:rsidR="00B95683" w:rsidRPr="007B5F8B" w:rsidRDefault="00B16DE9" w:rsidP="00B95683">
      <w:pPr>
        <w:pStyle w:val="Akapitzlist"/>
        <w:spacing w:after="80" w:line="312" w:lineRule="auto"/>
        <w:ind w:left="284"/>
        <w:contextualSpacing w:val="0"/>
        <w:rPr>
          <w:rFonts w:cstheme="minorHAnsi"/>
          <w:b/>
          <w:bCs/>
          <w:sz w:val="24"/>
          <w:szCs w:val="24"/>
        </w:rPr>
      </w:pPr>
      <w:r>
        <w:rPr>
          <w:b/>
          <w:sz w:val="24"/>
        </w:rPr>
        <w:t>Elective:</w:t>
      </w:r>
    </w:p>
    <w:p w14:paraId="0AECEE10" w14:textId="099E9B0A" w:rsidR="00327B24" w:rsidRPr="007B5F8B" w:rsidRDefault="00B95683"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Training “Use of professional databases and their application in the educational process”;</w:t>
      </w:r>
    </w:p>
    <w:p w14:paraId="6B58904B" w14:textId="24AE96DE" w:rsidR="00B95683" w:rsidRPr="007B5F8B" w:rsidRDefault="00B95683"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Training “Preparation and delivery of classes using the Flipped Classroom method”;</w:t>
      </w:r>
    </w:p>
    <w:p w14:paraId="5F3048A0" w14:textId="58DE7A05" w:rsidR="00B95683" w:rsidRPr="007B5F8B" w:rsidRDefault="00B95683"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Training “Equality in diversity – counteracting discrimination and exclusion in teaching”;</w:t>
      </w:r>
    </w:p>
    <w:p w14:paraId="2DD24C28" w14:textId="3FA2FFBB" w:rsidR="0060571D" w:rsidRPr="007B5F8B" w:rsidRDefault="00A53646"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“Specialist English language course – vocabulary and expressions related to the higher education teaching process” (for teaching staff members delivering classes in English).</w:t>
      </w:r>
    </w:p>
    <w:p w14:paraId="4163C518" w14:textId="1DBA82FB" w:rsidR="0060571D" w:rsidRPr="007B5F8B" w:rsidRDefault="0060571D" w:rsidP="00B16DE9">
      <w:pPr>
        <w:pStyle w:val="Akapitzlist"/>
        <w:spacing w:after="80" w:line="312" w:lineRule="auto"/>
        <w:ind w:left="284"/>
        <w:contextualSpacing w:val="0"/>
        <w:rPr>
          <w:rFonts w:cstheme="minorHAnsi"/>
          <w:b/>
          <w:bCs/>
          <w:sz w:val="24"/>
          <w:szCs w:val="24"/>
        </w:rPr>
      </w:pPr>
      <w:r>
        <w:rPr>
          <w:b/>
          <w:sz w:val="24"/>
        </w:rPr>
        <w:t>Study visits to foreign academic institutions:</w:t>
      </w:r>
    </w:p>
    <w:bookmarkEnd w:id="8"/>
    <w:p w14:paraId="45749D0E" w14:textId="1D0BB940" w:rsidR="00E67A7D"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Pollenzo</w:t>
      </w:r>
      <w:proofErr w:type="spellEnd"/>
      <w:r>
        <w:rPr>
          <w:rFonts w:asciiTheme="minorHAnsi" w:hAnsiTheme="minorHAnsi"/>
          <w:color w:val="auto"/>
        </w:rPr>
        <w:t xml:space="preserve"> University of Gastronomic Sciences, Italy;</w:t>
      </w:r>
    </w:p>
    <w:p w14:paraId="6A1C8F1D" w14:textId="6D889B9B" w:rsidR="00E67A7D"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University of Split, Croatia;</w:t>
      </w:r>
    </w:p>
    <w:p w14:paraId="15820363" w14:textId="28430CB9" w:rsidR="00520956"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 xml:space="preserve">Study visit to </w:t>
      </w:r>
      <w:proofErr w:type="spellStart"/>
      <w:r>
        <w:rPr>
          <w:rFonts w:asciiTheme="minorHAnsi" w:hAnsiTheme="minorHAnsi"/>
          <w:color w:val="auto"/>
        </w:rPr>
        <w:t>Luarasi</w:t>
      </w:r>
      <w:proofErr w:type="spellEnd"/>
      <w:r>
        <w:rPr>
          <w:rFonts w:asciiTheme="minorHAnsi" w:hAnsiTheme="minorHAnsi"/>
          <w:color w:val="auto"/>
        </w:rPr>
        <w:t xml:space="preserve"> University, Albania;</w:t>
      </w:r>
    </w:p>
    <w:p w14:paraId="5B6408AA" w14:textId="2804B21C" w:rsidR="00E67A7D"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Khazar University, Azerbaijan;</w:t>
      </w:r>
    </w:p>
    <w:p w14:paraId="3F522609" w14:textId="0ADD020D" w:rsidR="00E67A7D"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Istanbul Bilgi University, Türkiye;</w:t>
      </w:r>
    </w:p>
    <w:p w14:paraId="5CC2295D" w14:textId="630625B9" w:rsidR="00E67A7D" w:rsidRPr="007B5F8B" w:rsidRDefault="00E67A7D" w:rsidP="00351264">
      <w:pPr>
        <w:pStyle w:val="Default"/>
        <w:numPr>
          <w:ilvl w:val="0"/>
          <w:numId w:val="24"/>
        </w:numPr>
        <w:spacing w:after="80" w:line="312" w:lineRule="auto"/>
        <w:ind w:left="567" w:hanging="283"/>
        <w:rPr>
          <w:rFonts w:asciiTheme="minorHAnsi" w:eastAsiaTheme="minorEastAsia" w:hAnsiTheme="minorHAnsi" w:cstheme="minorHAnsi"/>
          <w:color w:val="auto"/>
        </w:rPr>
      </w:pPr>
      <w:r>
        <w:rPr>
          <w:rFonts w:asciiTheme="minorHAnsi" w:hAnsiTheme="minorHAnsi"/>
          <w:color w:val="auto"/>
        </w:rPr>
        <w:t>Study visit to Arizona State University, United States.</w:t>
      </w:r>
    </w:p>
    <w:p w14:paraId="6B6B4C1B" w14:textId="0167E755" w:rsidR="003B740A" w:rsidRPr="00BE603B" w:rsidRDefault="00891B2D" w:rsidP="00297FE8">
      <w:pPr>
        <w:pStyle w:val="Akapitzlist"/>
        <w:numPr>
          <w:ilvl w:val="0"/>
          <w:numId w:val="4"/>
        </w:numPr>
        <w:spacing w:after="80" w:line="312" w:lineRule="auto"/>
        <w:ind w:left="284" w:hanging="284"/>
        <w:contextualSpacing w:val="0"/>
        <w:rPr>
          <w:rFonts w:cstheme="minorHAnsi"/>
          <w:sz w:val="28"/>
          <w:szCs w:val="28"/>
        </w:rPr>
      </w:pPr>
      <w:r w:rsidRPr="00BE603B">
        <w:rPr>
          <w:sz w:val="24"/>
          <w:szCs w:val="24"/>
        </w:rPr>
        <w:t xml:space="preserve">Activities related to the implementation of the Forms of support are conducted by the </w:t>
      </w:r>
      <w:bookmarkStart w:id="9" w:name="_Hlk180657676"/>
      <w:r w:rsidRPr="00BE603B">
        <w:rPr>
          <w:sz w:val="24"/>
          <w:szCs w:val="24"/>
        </w:rPr>
        <w:t>Project Staff.</w:t>
      </w:r>
      <w:bookmarkEnd w:id="9"/>
    </w:p>
    <w:p w14:paraId="7983C2F5" w14:textId="1AA81A60" w:rsidR="00BE1FFF" w:rsidRPr="007B5F8B" w:rsidRDefault="00510D73" w:rsidP="00297FE8">
      <w:pPr>
        <w:pStyle w:val="Akapitzlist"/>
        <w:numPr>
          <w:ilvl w:val="0"/>
          <w:numId w:val="4"/>
        </w:numPr>
        <w:spacing w:after="80" w:line="312" w:lineRule="auto"/>
        <w:ind w:left="284" w:hanging="284"/>
        <w:contextualSpacing w:val="0"/>
        <w:rPr>
          <w:rFonts w:cstheme="minorHAnsi"/>
          <w:sz w:val="24"/>
          <w:szCs w:val="24"/>
        </w:rPr>
      </w:pPr>
      <w:r>
        <w:rPr>
          <w:sz w:val="24"/>
        </w:rPr>
        <w:t>Forms of support will be provided during the Project implementation period until its completion, i.e., no later than 31.07.2028.</w:t>
      </w:r>
    </w:p>
    <w:p w14:paraId="4E602A02" w14:textId="6D0B1C8E" w:rsidR="00C21873" w:rsidRPr="007B5F8B" w:rsidRDefault="003B740A"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10" w:name="_Toc228786943"/>
      <w:r>
        <w:rPr>
          <w:rFonts w:asciiTheme="minorHAnsi" w:hAnsiTheme="minorHAnsi"/>
          <w:color w:val="auto"/>
          <w:sz w:val="30"/>
        </w:rPr>
        <w:lastRenderedPageBreak/>
        <w:t>§ 3 Objective, assumptions, and target group of the Project</w:t>
      </w:r>
      <w:bookmarkEnd w:id="10"/>
    </w:p>
    <w:p w14:paraId="2734CB58" w14:textId="1918B459" w:rsidR="00F11C09" w:rsidRPr="007B5F8B" w:rsidRDefault="00F11C09" w:rsidP="00297FE8">
      <w:pPr>
        <w:pStyle w:val="Akapitzlist"/>
        <w:numPr>
          <w:ilvl w:val="0"/>
          <w:numId w:val="5"/>
        </w:numPr>
        <w:spacing w:after="80" w:line="312" w:lineRule="auto"/>
        <w:ind w:left="284" w:hanging="284"/>
        <w:contextualSpacing w:val="0"/>
        <w:rPr>
          <w:rFonts w:cstheme="minorHAnsi"/>
          <w:bCs/>
          <w:sz w:val="24"/>
          <w:szCs w:val="24"/>
        </w:rPr>
      </w:pPr>
      <w:r>
        <w:rPr>
          <w:sz w:val="24"/>
        </w:rPr>
        <w:t xml:space="preserve">The objective of the Project is to improve the quality of the teaching process at VIZJA University. This objective will be achieved, inter alia, through the establishment and launch of the Didactic Excellence Office – a </w:t>
      </w:r>
      <w:r w:rsidR="00BE603B">
        <w:rPr>
          <w:sz w:val="24"/>
        </w:rPr>
        <w:t>specialized</w:t>
      </w:r>
      <w:r>
        <w:rPr>
          <w:sz w:val="24"/>
        </w:rPr>
        <w:t xml:space="preserve"> unit responsible for the systematic evaluation of teaching activities and the development of teaching competences of teaching staff members and doctoral candidates.</w:t>
      </w:r>
    </w:p>
    <w:p w14:paraId="44A54B18" w14:textId="55ABF19C" w:rsidR="003B740A" w:rsidRPr="007B5F8B" w:rsidRDefault="00B92741" w:rsidP="0060571D">
      <w:pPr>
        <w:pStyle w:val="Akapitzlist"/>
        <w:numPr>
          <w:ilvl w:val="0"/>
          <w:numId w:val="5"/>
        </w:numPr>
        <w:spacing w:after="80" w:line="312" w:lineRule="auto"/>
        <w:ind w:left="284" w:hanging="284"/>
        <w:contextualSpacing w:val="0"/>
        <w:rPr>
          <w:rFonts w:cstheme="minorHAnsi"/>
          <w:bCs/>
          <w:sz w:val="24"/>
          <w:szCs w:val="24"/>
        </w:rPr>
      </w:pPr>
      <w:r>
        <w:rPr>
          <w:sz w:val="24"/>
        </w:rPr>
        <w:t xml:space="preserve">Target group – the target group is VIZJA University, within which a unit responsible for improving the quality of the teaching process has been established under the Project. Support is addressed to 100 teaching staff members (51 men, 49 women), employed under an employment contract or a civil law contract, provided that a minimum of 6 months of cooperation with the University prior to the commencement of participation in the </w:t>
      </w:r>
      <w:r w:rsidR="00454F30">
        <w:rPr>
          <w:sz w:val="24"/>
        </w:rPr>
        <w:t>Forms of support</w:t>
      </w:r>
      <w:r>
        <w:rPr>
          <w:sz w:val="24"/>
        </w:rPr>
        <w:t xml:space="preserve"> is required. In addition, the support covers at least 3 doctoral candidates (2 women, 1 man) from the University Doctoral School who were admitted to the Doctoral School no later than 30 September 2025.</w:t>
      </w:r>
    </w:p>
    <w:p w14:paraId="34EABBE0" w14:textId="5CA09179" w:rsidR="00520604" w:rsidRPr="007B5F8B" w:rsidRDefault="00520604" w:rsidP="00297FE8">
      <w:pPr>
        <w:pStyle w:val="Akapitzlist"/>
        <w:numPr>
          <w:ilvl w:val="0"/>
          <w:numId w:val="5"/>
        </w:numPr>
        <w:spacing w:after="80" w:line="312" w:lineRule="auto"/>
        <w:ind w:left="284" w:hanging="284"/>
        <w:contextualSpacing w:val="0"/>
        <w:rPr>
          <w:rFonts w:cstheme="minorHAnsi"/>
          <w:bCs/>
          <w:sz w:val="24"/>
          <w:szCs w:val="24"/>
        </w:rPr>
      </w:pPr>
      <w:r>
        <w:rPr>
          <w:sz w:val="24"/>
        </w:rPr>
        <w:t>Main project tasks:</w:t>
      </w:r>
    </w:p>
    <w:p w14:paraId="1BA438D7" w14:textId="2CD6C079" w:rsidR="00520604" w:rsidRPr="007B5F8B" w:rsidRDefault="00520604" w:rsidP="00351264">
      <w:pPr>
        <w:pStyle w:val="Default"/>
        <w:numPr>
          <w:ilvl w:val="0"/>
          <w:numId w:val="12"/>
        </w:numPr>
        <w:spacing w:after="80" w:line="312" w:lineRule="auto"/>
        <w:ind w:left="567" w:hanging="283"/>
        <w:rPr>
          <w:rFonts w:asciiTheme="minorHAnsi" w:hAnsiTheme="minorHAnsi" w:cstheme="minorHAnsi"/>
          <w:bCs/>
          <w:color w:val="auto"/>
        </w:rPr>
      </w:pPr>
      <w:r>
        <w:rPr>
          <w:rFonts w:asciiTheme="minorHAnsi" w:hAnsiTheme="minorHAnsi"/>
          <w:color w:val="auto"/>
        </w:rPr>
        <w:t>Task No. 1 – Didactic Excellence Office (DEO) – the establishment of the DEO will enable systemic support for the quality of education through the implementation, coordination, and development of activities aimed at enhancing the teaching competences of academic staff members and doctoral candidates. The Office will play a key role in monitoring the teaching process, its evaluation, and initiating corrective and development measures in line with the needs of staff, faculty authorities, and students.</w:t>
      </w:r>
    </w:p>
    <w:p w14:paraId="48CEAEFC" w14:textId="7E3235A7" w:rsidR="00FF6425" w:rsidRPr="007B5F8B" w:rsidRDefault="00520604" w:rsidP="00351264">
      <w:pPr>
        <w:pStyle w:val="Default"/>
        <w:numPr>
          <w:ilvl w:val="0"/>
          <w:numId w:val="12"/>
        </w:numPr>
        <w:spacing w:after="80" w:line="312" w:lineRule="auto"/>
        <w:ind w:left="567" w:hanging="283"/>
        <w:rPr>
          <w:rFonts w:asciiTheme="minorHAnsi" w:hAnsiTheme="minorHAnsi" w:cstheme="minorHAnsi"/>
          <w:bCs/>
          <w:color w:val="auto"/>
        </w:rPr>
      </w:pPr>
      <w:r>
        <w:rPr>
          <w:rFonts w:asciiTheme="minorHAnsi" w:hAnsiTheme="minorHAnsi"/>
          <w:color w:val="auto"/>
        </w:rPr>
        <w:t xml:space="preserve">Task No. 2 – implementation of a training cycle for academic staff members and doctoral candidates in the area of developing teaching, digital, environmental, and equality-related competences – as part of this task, a comprehensive competence development </w:t>
      </w:r>
      <w:proofErr w:type="spellStart"/>
      <w:r>
        <w:rPr>
          <w:rFonts w:asciiTheme="minorHAnsi" w:hAnsiTheme="minorHAnsi"/>
          <w:color w:val="auto"/>
        </w:rPr>
        <w:t>programme</w:t>
      </w:r>
      <w:proofErr w:type="spellEnd"/>
      <w:r>
        <w:rPr>
          <w:rFonts w:asciiTheme="minorHAnsi" w:hAnsiTheme="minorHAnsi"/>
          <w:color w:val="auto"/>
        </w:rPr>
        <w:t xml:space="preserve"> for academic staff members and doctoral candidates will be implemented. The program will include both mandatory and elective training conducted in workshop and lecture formats.</w:t>
      </w:r>
    </w:p>
    <w:p w14:paraId="75F2787C" w14:textId="112EAE1F" w:rsidR="00520604" w:rsidRPr="007B5F8B" w:rsidRDefault="00520604" w:rsidP="00351264">
      <w:pPr>
        <w:pStyle w:val="Default"/>
        <w:numPr>
          <w:ilvl w:val="0"/>
          <w:numId w:val="12"/>
        </w:numPr>
        <w:spacing w:after="80" w:line="312" w:lineRule="auto"/>
        <w:ind w:left="567" w:hanging="283"/>
        <w:rPr>
          <w:rFonts w:asciiTheme="minorHAnsi" w:hAnsiTheme="minorHAnsi" w:cstheme="minorHAnsi"/>
          <w:bCs/>
          <w:color w:val="auto"/>
        </w:rPr>
      </w:pPr>
      <w:r>
        <w:rPr>
          <w:rFonts w:asciiTheme="minorHAnsi" w:hAnsiTheme="minorHAnsi"/>
          <w:color w:val="auto"/>
        </w:rPr>
        <w:t xml:space="preserve">Task No. 3 – implementation of study visits to foreign academic institutions – within this task, study visits are planned for teaching staff members and doctoral candidates to leading academic </w:t>
      </w:r>
      <w:r w:rsidR="00BE603B">
        <w:rPr>
          <w:rFonts w:asciiTheme="minorHAnsi" w:hAnsiTheme="minorHAnsi"/>
          <w:color w:val="auto"/>
        </w:rPr>
        <w:t>centers</w:t>
      </w:r>
      <w:r>
        <w:rPr>
          <w:rFonts w:asciiTheme="minorHAnsi" w:hAnsiTheme="minorHAnsi"/>
          <w:color w:val="auto"/>
        </w:rPr>
        <w:t xml:space="preserve"> abroad that are distinguished by innovative solutions in the field of teaching. For teaching staff members, the visits will serve as an impetus for developing new methodological competences, becoming familiar with educational tools used in practice, and broadening their professional perspectives. Doctoral candidates will gain an opportunity to develop teaching competences at an early stage of their academic careers, which responds to the need to strengthen their role in the educational process.</w:t>
      </w:r>
    </w:p>
    <w:p w14:paraId="32DDFAC5" w14:textId="06A083D5" w:rsidR="00C21873" w:rsidRPr="007B5F8B" w:rsidRDefault="003B740A"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11" w:name="_Toc228786944"/>
      <w:r>
        <w:rPr>
          <w:rFonts w:asciiTheme="minorHAnsi" w:hAnsiTheme="minorHAnsi"/>
          <w:color w:val="auto"/>
          <w:sz w:val="30"/>
        </w:rPr>
        <w:lastRenderedPageBreak/>
        <w:t>§ 4 Recruitment of Project participants</w:t>
      </w:r>
      <w:bookmarkEnd w:id="11"/>
    </w:p>
    <w:p w14:paraId="08EA3920" w14:textId="2D416A76" w:rsidR="003B740A" w:rsidRPr="00BE603B" w:rsidRDefault="008D7D32" w:rsidP="00297FE8">
      <w:pPr>
        <w:pStyle w:val="Akapitzlist"/>
        <w:numPr>
          <w:ilvl w:val="0"/>
          <w:numId w:val="6"/>
        </w:numPr>
        <w:spacing w:after="80" w:line="312" w:lineRule="auto"/>
        <w:ind w:left="284" w:hanging="284"/>
        <w:contextualSpacing w:val="0"/>
        <w:rPr>
          <w:rFonts w:cstheme="minorHAnsi"/>
          <w:sz w:val="24"/>
          <w:szCs w:val="24"/>
        </w:rPr>
      </w:pPr>
      <w:r w:rsidRPr="00BE603B">
        <w:rPr>
          <w:sz w:val="24"/>
          <w:szCs w:val="24"/>
        </w:rPr>
        <w:t>Support under the Project is addressed to teaching staff members and doctoral candidates employed at VIZJA University who:</w:t>
      </w:r>
    </w:p>
    <w:p w14:paraId="7D566EB5" w14:textId="19324942" w:rsidR="00F63FCE" w:rsidRPr="00BE603B" w:rsidRDefault="000747DA" w:rsidP="00351264">
      <w:pPr>
        <w:pStyle w:val="Default"/>
        <w:numPr>
          <w:ilvl w:val="0"/>
          <w:numId w:val="13"/>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meet the eligibility criteria for the Project target group indicated in § 3(2), which shall be confirmed by a collective document issued by the Human Resources and Payroll Department of VIZJA University certifying membership in the Project target group;</w:t>
      </w:r>
    </w:p>
    <w:p w14:paraId="6D1E23AF" w14:textId="02F2F0BF" w:rsidR="003A7035" w:rsidRPr="00BE603B" w:rsidRDefault="00980111" w:rsidP="00351264">
      <w:pPr>
        <w:pStyle w:val="Default"/>
        <w:numPr>
          <w:ilvl w:val="0"/>
          <w:numId w:val="13"/>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declare their willingness to participate in the Project;</w:t>
      </w:r>
    </w:p>
    <w:p w14:paraId="67BAE5C5" w14:textId="080DA7A3" w:rsidR="00E026E8" w:rsidRPr="00BE603B" w:rsidRDefault="003A7035" w:rsidP="00351264">
      <w:pPr>
        <w:pStyle w:val="Default"/>
        <w:numPr>
          <w:ilvl w:val="0"/>
          <w:numId w:val="13"/>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have submitted and confirmed the recruitment form;</w:t>
      </w:r>
    </w:p>
    <w:p w14:paraId="384BDD85" w14:textId="293B1389" w:rsidR="003A7035" w:rsidRPr="00BE603B" w:rsidRDefault="00E026E8" w:rsidP="00351264">
      <w:pPr>
        <w:pStyle w:val="Default"/>
        <w:numPr>
          <w:ilvl w:val="0"/>
          <w:numId w:val="13"/>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have completed a minimum of 4 mandatory training sessions provided for in the Project (applies to participation in</w:t>
      </w:r>
      <w:r w:rsidR="00C86D6C">
        <w:rPr>
          <w:rFonts w:asciiTheme="minorHAnsi" w:hAnsiTheme="minorHAnsi"/>
          <w:color w:val="auto"/>
        </w:rPr>
        <w:t xml:space="preserve"> elective training </w:t>
      </w:r>
      <w:r w:rsidR="00C86D6C" w:rsidRPr="00C86D6C">
        <w:rPr>
          <w:rFonts w:asciiTheme="minorHAnsi" w:hAnsiTheme="minorHAnsi"/>
          <w:color w:val="auto"/>
        </w:rPr>
        <w:t>sessions and</w:t>
      </w:r>
      <w:r w:rsidRPr="00C86D6C">
        <w:rPr>
          <w:rFonts w:asciiTheme="minorHAnsi" w:hAnsiTheme="minorHAnsi"/>
          <w:color w:val="auto"/>
        </w:rPr>
        <w:t xml:space="preserve"> study visits</w:t>
      </w:r>
      <w:r w:rsidRPr="00BE603B">
        <w:rPr>
          <w:rFonts w:asciiTheme="minorHAnsi" w:hAnsiTheme="minorHAnsi"/>
          <w:color w:val="auto"/>
        </w:rPr>
        <w:t xml:space="preserve"> as a </w:t>
      </w:r>
      <w:r w:rsidR="00C86D6C" w:rsidRPr="00BE603B">
        <w:rPr>
          <w:rFonts w:asciiTheme="minorHAnsi" w:hAnsiTheme="minorHAnsi"/>
          <w:color w:val="auto"/>
        </w:rPr>
        <w:t>form</w:t>
      </w:r>
      <w:r w:rsidRPr="00BE603B">
        <w:rPr>
          <w:rFonts w:asciiTheme="minorHAnsi" w:hAnsiTheme="minorHAnsi"/>
          <w:color w:val="auto"/>
        </w:rPr>
        <w:t xml:space="preserve"> of support)</w:t>
      </w:r>
      <w:r w:rsidR="00DA1050">
        <w:rPr>
          <w:rFonts w:asciiTheme="minorHAnsi" w:hAnsiTheme="minorHAnsi"/>
          <w:color w:val="auto"/>
        </w:rPr>
        <w:t>;</w:t>
      </w:r>
    </w:p>
    <w:p w14:paraId="6D05F5F5" w14:textId="60B224C0" w:rsidR="00B96B6B" w:rsidRPr="00BE603B" w:rsidRDefault="003A7035" w:rsidP="00351264">
      <w:pPr>
        <w:pStyle w:val="Default"/>
        <w:numPr>
          <w:ilvl w:val="0"/>
          <w:numId w:val="13"/>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have successfully passed the recruitment process for the Project.</w:t>
      </w:r>
    </w:p>
    <w:p w14:paraId="4096CFEC" w14:textId="39224DE2" w:rsidR="00A626F9" w:rsidRPr="00BE603B" w:rsidRDefault="00A626F9" w:rsidP="00297FE8">
      <w:pPr>
        <w:pStyle w:val="Akapitzlist"/>
        <w:numPr>
          <w:ilvl w:val="0"/>
          <w:numId w:val="6"/>
        </w:numPr>
        <w:spacing w:after="80" w:line="312" w:lineRule="auto"/>
        <w:ind w:left="284" w:hanging="284"/>
        <w:contextualSpacing w:val="0"/>
        <w:rPr>
          <w:rFonts w:cstheme="minorHAnsi"/>
          <w:sz w:val="24"/>
          <w:szCs w:val="24"/>
        </w:rPr>
      </w:pPr>
      <w:r w:rsidRPr="00BE603B">
        <w:rPr>
          <w:sz w:val="24"/>
          <w:szCs w:val="24"/>
        </w:rPr>
        <w:t>Recruitment for the Project is carried out via a digitally available electronic form, which will serve as documentation of the application for support.</w:t>
      </w:r>
    </w:p>
    <w:p w14:paraId="3306088F" w14:textId="6BCDE6BB" w:rsidR="00BF1895" w:rsidRPr="00BE603B" w:rsidRDefault="00BF1895" w:rsidP="00297FE8">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t>In cases of special needs, including the needs of a person with a disability, and after prior contact and agreement with the Project Staff, the recruitment form may be submitted in a different format or by a different method, e.g., in paper form delivered in person or electronically via e-mail.</w:t>
      </w:r>
    </w:p>
    <w:p w14:paraId="31C1B82A" w14:textId="7894EDE1" w:rsidR="0054334F" w:rsidRPr="00BE603B" w:rsidRDefault="00090729" w:rsidP="00297FE8">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t xml:space="preserve">Submitting an application to participate in the Project consists of completing and confirming the recruitment form available on the </w:t>
      </w:r>
      <w:hyperlink r:id="rId14" w:history="1">
        <w:r w:rsidRPr="00BE603B">
          <w:rPr>
            <w:rStyle w:val="Hipercze"/>
            <w:color w:val="0070C0"/>
            <w:sz w:val="24"/>
            <w:szCs w:val="24"/>
          </w:rPr>
          <w:t>Project website</w:t>
        </w:r>
      </w:hyperlink>
      <w:r w:rsidRPr="00BE603B">
        <w:rPr>
          <w:sz w:val="24"/>
          <w:szCs w:val="24"/>
        </w:rPr>
        <w:t>, using the recruitment system provided by V</w:t>
      </w:r>
      <w:r w:rsidR="002433D2">
        <w:rPr>
          <w:sz w:val="24"/>
          <w:szCs w:val="24"/>
        </w:rPr>
        <w:t>IZJA</w:t>
      </w:r>
      <w:r w:rsidRPr="00BE603B">
        <w:rPr>
          <w:sz w:val="24"/>
          <w:szCs w:val="24"/>
        </w:rPr>
        <w:t xml:space="preserve"> University, subject to the provision of paragraph 3 above.</w:t>
      </w:r>
    </w:p>
    <w:p w14:paraId="6C73FA87" w14:textId="7138F223" w:rsidR="00897542" w:rsidRPr="00BE603B" w:rsidRDefault="00897542" w:rsidP="00897542">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t>Submitting the recruitment form is electronically confirmed in accordance with the instructions provided in the form, using the tools made available by V</w:t>
      </w:r>
      <w:r w:rsidR="002433D2">
        <w:rPr>
          <w:sz w:val="24"/>
          <w:szCs w:val="24"/>
        </w:rPr>
        <w:t>IZJA</w:t>
      </w:r>
      <w:r w:rsidRPr="00BE603B">
        <w:rPr>
          <w:sz w:val="24"/>
          <w:szCs w:val="24"/>
        </w:rPr>
        <w:t xml:space="preserve"> University. An</w:t>
      </w:r>
      <w:r w:rsidR="00DA1050">
        <w:rPr>
          <w:sz w:val="24"/>
          <w:szCs w:val="24"/>
        </w:rPr>
        <w:t> </w:t>
      </w:r>
      <w:r w:rsidRPr="00BE603B">
        <w:rPr>
          <w:sz w:val="24"/>
          <w:szCs w:val="24"/>
        </w:rPr>
        <w:t xml:space="preserve">instructional guide covering the entire registration process in the recruitment system is available on the </w:t>
      </w:r>
      <w:hyperlink r:id="rId15" w:history="1">
        <w:r w:rsidRPr="00BE603B">
          <w:rPr>
            <w:rStyle w:val="Hipercze"/>
            <w:color w:val="0070C0"/>
            <w:sz w:val="24"/>
            <w:szCs w:val="24"/>
          </w:rPr>
          <w:t>Project website</w:t>
        </w:r>
      </w:hyperlink>
      <w:r w:rsidRPr="00BE603B">
        <w:rPr>
          <w:sz w:val="24"/>
          <w:szCs w:val="24"/>
        </w:rPr>
        <w:t xml:space="preserve"> in the “recruitment documents for download” section.</w:t>
      </w:r>
    </w:p>
    <w:p w14:paraId="6A3D6112" w14:textId="65171F0C" w:rsidR="00876FA1" w:rsidRPr="00BE603B" w:rsidRDefault="00876FA1" w:rsidP="00297FE8">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t>The recruitment process is carried out in stages and includes the following activities:</w:t>
      </w:r>
    </w:p>
    <w:p w14:paraId="430255B0" w14:textId="56E4CD45" w:rsidR="0010693C" w:rsidRPr="00BE603B" w:rsidRDefault="004F29D3" w:rsidP="00351264">
      <w:pPr>
        <w:pStyle w:val="Akapitzlist"/>
        <w:numPr>
          <w:ilvl w:val="0"/>
          <w:numId w:val="20"/>
        </w:numPr>
        <w:spacing w:after="80" w:line="312" w:lineRule="auto"/>
        <w:ind w:left="567" w:hanging="283"/>
        <w:contextualSpacing w:val="0"/>
        <w:rPr>
          <w:rFonts w:cstheme="minorHAnsi"/>
          <w:bCs/>
          <w:sz w:val="24"/>
          <w:szCs w:val="24"/>
        </w:rPr>
      </w:pPr>
      <w:r w:rsidRPr="00BE603B">
        <w:rPr>
          <w:sz w:val="24"/>
          <w:szCs w:val="24"/>
        </w:rPr>
        <w:t xml:space="preserve">declaration of willingness to participate in the Project – a teaching staff member or doctoral candidate declares their willingness to participate in the Project by completing an electronic recruitment form (in accordance with the instructions available on the </w:t>
      </w:r>
      <w:hyperlink r:id="rId16" w:history="1">
        <w:r w:rsidRPr="00BE603B">
          <w:rPr>
            <w:rStyle w:val="Hipercze"/>
            <w:sz w:val="24"/>
            <w:szCs w:val="24"/>
          </w:rPr>
          <w:t>Project website</w:t>
        </w:r>
      </w:hyperlink>
      <w:r w:rsidRPr="00BE603B">
        <w:rPr>
          <w:sz w:val="24"/>
          <w:szCs w:val="24"/>
        </w:rPr>
        <w:t>) in the system provided by VIZJA University, or by contacting the Project Office (in person, by email, or by telephone) in the case of special needs preventing submission of the electronic form via the University system;</w:t>
      </w:r>
    </w:p>
    <w:p w14:paraId="2E23B365" w14:textId="07AF75CD" w:rsidR="00C252A6" w:rsidRPr="00BE603B" w:rsidRDefault="00E62C40" w:rsidP="00351264">
      <w:pPr>
        <w:pStyle w:val="Akapitzlist"/>
        <w:numPr>
          <w:ilvl w:val="0"/>
          <w:numId w:val="20"/>
        </w:numPr>
        <w:spacing w:after="80" w:line="312" w:lineRule="auto"/>
        <w:ind w:left="567" w:hanging="283"/>
        <w:contextualSpacing w:val="0"/>
        <w:rPr>
          <w:rFonts w:cstheme="minorHAnsi"/>
          <w:bCs/>
          <w:sz w:val="24"/>
          <w:szCs w:val="24"/>
        </w:rPr>
      </w:pPr>
      <w:r w:rsidRPr="00BE603B">
        <w:rPr>
          <w:sz w:val="24"/>
          <w:szCs w:val="24"/>
        </w:rPr>
        <w:t>formal verification – the Project Staff verify the accuracy and completeness of the submitted documents, including confirming membership in the target group and evaluating applications based on the criteria specified in sec. 12.</w:t>
      </w:r>
    </w:p>
    <w:p w14:paraId="7DB28D09" w14:textId="0CD3049A" w:rsidR="0054334F" w:rsidRPr="00BE603B" w:rsidRDefault="00685ABB" w:rsidP="00297FE8">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lastRenderedPageBreak/>
        <w:t xml:space="preserve">Recruitment to the Project for specific </w:t>
      </w:r>
      <w:r w:rsidR="00454F30">
        <w:rPr>
          <w:sz w:val="24"/>
          <w:szCs w:val="24"/>
        </w:rPr>
        <w:t>Forms of support</w:t>
      </w:r>
      <w:r w:rsidRPr="00BE603B">
        <w:rPr>
          <w:sz w:val="24"/>
          <w:szCs w:val="24"/>
        </w:rPr>
        <w:t xml:space="preserve"> is conducted on a continuous basis until all places are filled.</w:t>
      </w:r>
    </w:p>
    <w:p w14:paraId="2DFAA754" w14:textId="747816D0" w:rsidR="00502499" w:rsidRPr="00BE603B" w:rsidRDefault="00502499" w:rsidP="00297FE8">
      <w:pPr>
        <w:pStyle w:val="Akapitzlist"/>
        <w:numPr>
          <w:ilvl w:val="0"/>
          <w:numId w:val="6"/>
        </w:numPr>
        <w:spacing w:after="80" w:line="312" w:lineRule="auto"/>
        <w:ind w:left="284" w:hanging="284"/>
        <w:contextualSpacing w:val="0"/>
        <w:rPr>
          <w:rFonts w:cstheme="minorHAnsi"/>
          <w:bCs/>
          <w:sz w:val="24"/>
          <w:szCs w:val="24"/>
        </w:rPr>
      </w:pPr>
      <w:r w:rsidRPr="00BE603B">
        <w:rPr>
          <w:sz w:val="24"/>
          <w:szCs w:val="24"/>
        </w:rPr>
        <w:t xml:space="preserve">Due to the nature of the </w:t>
      </w:r>
      <w:r w:rsidR="00454F30">
        <w:rPr>
          <w:sz w:val="24"/>
          <w:szCs w:val="24"/>
        </w:rPr>
        <w:t xml:space="preserve">Forms of support </w:t>
      </w:r>
      <w:r w:rsidRPr="00BE603B">
        <w:rPr>
          <w:sz w:val="24"/>
          <w:szCs w:val="24"/>
        </w:rPr>
        <w:t>in the form of study visits, the following rules apply:</w:t>
      </w:r>
    </w:p>
    <w:p w14:paraId="3DCB82A9" w14:textId="24E30B6E" w:rsidR="00407161" w:rsidRPr="00BE603B" w:rsidRDefault="00BE192A"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a study visit lasts 12 hours and may extend up to a maximum of 3 days, including travel to and from the destination; in the case of travel to the United States, an additional 2</w:t>
      </w:r>
      <w:r w:rsidR="00DA1050">
        <w:rPr>
          <w:sz w:val="24"/>
          <w:szCs w:val="24"/>
        </w:rPr>
        <w:t> </w:t>
      </w:r>
      <w:r w:rsidRPr="00BE603B">
        <w:rPr>
          <w:sz w:val="24"/>
          <w:szCs w:val="24"/>
        </w:rPr>
        <w:t>days for travel are permitted;</w:t>
      </w:r>
    </w:p>
    <w:p w14:paraId="61A7529F" w14:textId="6667C0FA" w:rsidR="00407161" w:rsidRPr="00BE603B" w:rsidRDefault="00BE192A"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a total of 24 teaching staff members or doctoral candidates who have completed at least 4 mandatory training sessions indicated in § 2 of the Regulations may participate in study visits;</w:t>
      </w:r>
    </w:p>
    <w:p w14:paraId="5FCECF5B" w14:textId="4427FDB1" w:rsidR="00BE192A" w:rsidRPr="00BE603B" w:rsidRDefault="00BE192A"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each person may participate in a maximum of one study visit within the Project;</w:t>
      </w:r>
    </w:p>
    <w:p w14:paraId="1084CB91" w14:textId="4B7992AD" w:rsidR="00BE192A" w:rsidRPr="00BE603B" w:rsidRDefault="00BE192A"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a total of 12 study visits will be carried out, with 2 visits at each host institution;</w:t>
      </w:r>
    </w:p>
    <w:p w14:paraId="10CE7DD5" w14:textId="66AED4C4" w:rsidR="00BE192A" w:rsidRPr="00BE603B" w:rsidRDefault="00B063B9"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the visits will be implemented as follows: 6 visits in 2027 and 6 more visits in 2028;</w:t>
      </w:r>
    </w:p>
    <w:p w14:paraId="44D2F938" w14:textId="3D6DC42A" w:rsidR="00BE192A" w:rsidRPr="00BE603B" w:rsidRDefault="00BE192A" w:rsidP="00351264">
      <w:pPr>
        <w:pStyle w:val="Akapitzlist"/>
        <w:numPr>
          <w:ilvl w:val="0"/>
          <w:numId w:val="25"/>
        </w:numPr>
        <w:spacing w:after="80" w:line="312" w:lineRule="auto"/>
        <w:ind w:left="567" w:hanging="283"/>
        <w:contextualSpacing w:val="0"/>
        <w:rPr>
          <w:rFonts w:cstheme="minorHAnsi"/>
          <w:bCs/>
          <w:sz w:val="24"/>
          <w:szCs w:val="24"/>
        </w:rPr>
      </w:pPr>
      <w:r w:rsidRPr="00BE603B">
        <w:rPr>
          <w:sz w:val="24"/>
          <w:szCs w:val="24"/>
        </w:rPr>
        <w:t>The list of persons qualified to participate in study visits is approved by the Vice-Rector for Education; If necessary, the Rector of VIZJA University may replace the Vice-Rector in performing this function.</w:t>
      </w:r>
    </w:p>
    <w:p w14:paraId="059FFFEE" w14:textId="30780FF3" w:rsidR="00B20567" w:rsidRPr="00BE603B" w:rsidRDefault="007F68D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The Project Staff periodically prepare a ranking list for a given Form of support and inform applicants about their qualification to participate in the Project. Eligibility for the Project target group declared in the recruitment form is verified at the stage of form assessment by obtaining a collective document issued by the Human Resources and Payroll Department of VIZJA University.</w:t>
      </w:r>
    </w:p>
    <w:p w14:paraId="34A44067" w14:textId="4899ABC3" w:rsidR="00A22D7D" w:rsidRPr="00BE603B" w:rsidRDefault="00B870F2"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In the event of missing required information or documents, the applicant may be requested to supplement the documentation within 3 working days from the date on which the applicant is informed of the deficiencies.</w:t>
      </w:r>
    </w:p>
    <w:p w14:paraId="28AE48DA" w14:textId="16A0D301" w:rsidR="00A650EA" w:rsidRPr="00BE603B" w:rsidRDefault="00A650E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At every stage of Project implementation, including recruitment and the provision of Forms of support, equality principles will be applied (the principles set out in the document entitled “Guidelines on the implementation of equality principles under EU funds for 2021–2027”), including, among others, the application of appropriate reasonable accommodations in cases where applicants, Project participants, or Project Staff have special needs, through the implementation of the relevant accessibility standards set out in “Annex No. 2. Accessibility standards for Cohesion Policy 2021–2027”. All Project activities will be carried out in a manner ensuring respect for all differences and diversity of the persons involved in these activities, applicants, and Project participants, including with regard to gender and the status of a person with a</w:t>
      </w:r>
      <w:r w:rsidR="00DA1050">
        <w:rPr>
          <w:sz w:val="24"/>
          <w:szCs w:val="24"/>
        </w:rPr>
        <w:t> </w:t>
      </w:r>
      <w:r w:rsidRPr="00BE603B">
        <w:rPr>
          <w:sz w:val="24"/>
          <w:szCs w:val="24"/>
        </w:rPr>
        <w:t>disability.</w:t>
      </w:r>
    </w:p>
    <w:p w14:paraId="48F30072" w14:textId="08CCB39A" w:rsidR="00914C6A" w:rsidRPr="00BE603B" w:rsidRDefault="007430FE" w:rsidP="00297FE8">
      <w:pPr>
        <w:pStyle w:val="Akapitzlist"/>
        <w:numPr>
          <w:ilvl w:val="0"/>
          <w:numId w:val="6"/>
        </w:numPr>
        <w:spacing w:after="80" w:line="312" w:lineRule="auto"/>
        <w:ind w:left="426" w:hanging="426"/>
        <w:contextualSpacing w:val="0"/>
        <w:rPr>
          <w:rFonts w:cstheme="minorHAnsi"/>
          <w:bCs/>
          <w:sz w:val="24"/>
          <w:szCs w:val="24"/>
        </w:rPr>
      </w:pPr>
      <w:bookmarkStart w:id="12" w:name="_Hlk212545481"/>
      <w:r w:rsidRPr="00BE603B">
        <w:rPr>
          <w:sz w:val="24"/>
          <w:szCs w:val="24"/>
        </w:rPr>
        <w:t>Scoring criteria:</w:t>
      </w:r>
    </w:p>
    <w:p w14:paraId="5C8000D7" w14:textId="190725DE" w:rsidR="00B23190" w:rsidRPr="00BE603B" w:rsidRDefault="008F071B" w:rsidP="00351264">
      <w:pPr>
        <w:pStyle w:val="Default"/>
        <w:numPr>
          <w:ilvl w:val="0"/>
          <w:numId w:val="16"/>
        </w:numPr>
        <w:spacing w:after="80" w:line="312" w:lineRule="auto"/>
        <w:ind w:left="567" w:hanging="283"/>
        <w:rPr>
          <w:rFonts w:asciiTheme="minorHAnsi" w:hAnsiTheme="minorHAnsi" w:cstheme="minorHAnsi"/>
          <w:color w:val="auto"/>
        </w:rPr>
      </w:pPr>
      <w:bookmarkStart w:id="13" w:name="_Hlk212529918"/>
      <w:r w:rsidRPr="00BE603B">
        <w:rPr>
          <w:rFonts w:asciiTheme="minorHAnsi" w:hAnsiTheme="minorHAnsi"/>
          <w:color w:val="auto"/>
        </w:rPr>
        <w:lastRenderedPageBreak/>
        <w:t>No participation in training of a similar thematic scope covered by this Project within the last 2 years – 5 points;</w:t>
      </w:r>
    </w:p>
    <w:p w14:paraId="3A630D6F" w14:textId="358FC284" w:rsidR="009451E3" w:rsidRPr="00BE603B" w:rsidRDefault="009451E3" w:rsidP="001D3DD8">
      <w:pPr>
        <w:pStyle w:val="Default"/>
        <w:spacing w:after="80" w:line="312" w:lineRule="auto"/>
        <w:ind w:left="567"/>
        <w:rPr>
          <w:rFonts w:asciiTheme="minorHAnsi" w:hAnsiTheme="minorHAnsi" w:cstheme="minorHAnsi"/>
          <w:color w:val="auto"/>
        </w:rPr>
      </w:pPr>
      <w:r w:rsidRPr="00BE603B">
        <w:rPr>
          <w:rFonts w:asciiTheme="minorHAnsi" w:hAnsiTheme="minorHAnsi"/>
          <w:color w:val="auto"/>
        </w:rPr>
        <w:t>This refers to an applicant who, within the 24 months preceding the date of submission of the recruitment form, has not participated in training of a similar subject matter and scope. The criterion is verified on the basis of a declaration included in the recruitment form and, where necessary, on the basis of documentation confirming participation in training.</w:t>
      </w:r>
    </w:p>
    <w:p w14:paraId="2B67285F" w14:textId="6097E9F8" w:rsidR="00B23190" w:rsidRPr="00BE603B" w:rsidRDefault="00B23190" w:rsidP="00351264">
      <w:pPr>
        <w:pStyle w:val="Default"/>
        <w:numPr>
          <w:ilvl w:val="0"/>
          <w:numId w:val="16"/>
        </w:numPr>
        <w:spacing w:after="80" w:line="312" w:lineRule="auto"/>
        <w:ind w:left="567" w:hanging="283"/>
        <w:rPr>
          <w:rFonts w:asciiTheme="minorHAnsi" w:hAnsiTheme="minorHAnsi" w:cstheme="minorHAnsi"/>
          <w:color w:val="auto"/>
        </w:rPr>
      </w:pPr>
      <w:r w:rsidRPr="00BE603B">
        <w:rPr>
          <w:rFonts w:asciiTheme="minorHAnsi" w:hAnsiTheme="minorHAnsi"/>
          <w:color w:val="auto"/>
        </w:rPr>
        <w:t>Willingness to improve qualifications and develop teaching competences – 5 points;</w:t>
      </w:r>
    </w:p>
    <w:p w14:paraId="7CA669D1" w14:textId="225E107E" w:rsidR="009451E3" w:rsidRPr="00BE603B" w:rsidRDefault="009451E3" w:rsidP="009451E3">
      <w:pPr>
        <w:pStyle w:val="Default"/>
        <w:spacing w:after="80" w:line="312" w:lineRule="auto"/>
        <w:ind w:left="567"/>
        <w:rPr>
          <w:rFonts w:asciiTheme="minorHAnsi" w:hAnsiTheme="minorHAnsi" w:cstheme="minorHAnsi"/>
          <w:color w:val="auto"/>
        </w:rPr>
      </w:pPr>
      <w:r w:rsidRPr="00BE603B">
        <w:rPr>
          <w:rFonts w:asciiTheme="minorHAnsi" w:hAnsiTheme="minorHAnsi"/>
          <w:color w:val="auto"/>
        </w:rPr>
        <w:t>This refers to an applicant who declares a willingness to improve their professional skills, in particular in the area of enhancing the quality of delivered classes, implementing new teaching methods, and developing teaching competences. The criterion is verified on the basis of a self-assessment questionnaire included in the recruitment form. 1 point is awarded for each affirmative answer.</w:t>
      </w:r>
    </w:p>
    <w:p w14:paraId="0B432952" w14:textId="0DAB736A" w:rsidR="00D81C7B" w:rsidRPr="00BE603B" w:rsidRDefault="00D81C7B" w:rsidP="009451E3">
      <w:pPr>
        <w:pStyle w:val="Default"/>
        <w:spacing w:after="80" w:line="312" w:lineRule="auto"/>
        <w:ind w:left="567"/>
        <w:rPr>
          <w:rFonts w:asciiTheme="minorHAnsi" w:hAnsiTheme="minorHAnsi" w:cstheme="minorHAnsi"/>
          <w:color w:val="auto"/>
        </w:rPr>
      </w:pPr>
      <w:r w:rsidRPr="00BE603B">
        <w:rPr>
          <w:rFonts w:asciiTheme="minorHAnsi" w:hAnsiTheme="minorHAnsi"/>
          <w:color w:val="auto"/>
        </w:rPr>
        <w:t>Self-assessment questionnaire:</w:t>
      </w:r>
    </w:p>
    <w:p w14:paraId="67BB0DCD" w14:textId="49CE3F9F" w:rsidR="00D81C7B" w:rsidRPr="00BE603B" w:rsidRDefault="00D81C7B" w:rsidP="00351264">
      <w:pPr>
        <w:pStyle w:val="Default"/>
        <w:numPr>
          <w:ilvl w:val="0"/>
          <w:numId w:val="26"/>
        </w:numPr>
        <w:spacing w:after="80" w:line="312" w:lineRule="auto"/>
        <w:rPr>
          <w:rFonts w:asciiTheme="minorHAnsi" w:hAnsiTheme="minorHAnsi" w:cstheme="minorHAnsi"/>
          <w:color w:val="auto"/>
        </w:rPr>
      </w:pPr>
      <w:r w:rsidRPr="00BE603B">
        <w:rPr>
          <w:rFonts w:asciiTheme="minorHAnsi" w:hAnsiTheme="minorHAnsi"/>
          <w:color w:val="auto"/>
        </w:rPr>
        <w:t>I feel the need to regularly update my knowledge in the field of the classes I deliver – Yes / No</w:t>
      </w:r>
    </w:p>
    <w:p w14:paraId="150C9364" w14:textId="78FD5FD9" w:rsidR="00D81C7B" w:rsidRPr="00BE603B" w:rsidRDefault="00D81C7B" w:rsidP="00351264">
      <w:pPr>
        <w:pStyle w:val="Default"/>
        <w:numPr>
          <w:ilvl w:val="0"/>
          <w:numId w:val="26"/>
        </w:numPr>
        <w:spacing w:after="80" w:line="312" w:lineRule="auto"/>
        <w:rPr>
          <w:rFonts w:asciiTheme="minorHAnsi" w:hAnsiTheme="minorHAnsi" w:cstheme="minorHAnsi"/>
          <w:color w:val="auto"/>
        </w:rPr>
      </w:pPr>
      <w:r w:rsidRPr="00BE603B">
        <w:rPr>
          <w:rFonts w:asciiTheme="minorHAnsi" w:hAnsiTheme="minorHAnsi"/>
          <w:color w:val="auto"/>
        </w:rPr>
        <w:t>I strive for continuous improvement of my professional skills in the area of developing teaching and digital competences – Yes / No</w:t>
      </w:r>
    </w:p>
    <w:p w14:paraId="5AD6DE8B" w14:textId="57522E4C" w:rsidR="00D81C7B" w:rsidRPr="00BE603B" w:rsidRDefault="00D81C7B" w:rsidP="00351264">
      <w:pPr>
        <w:pStyle w:val="Default"/>
        <w:numPr>
          <w:ilvl w:val="0"/>
          <w:numId w:val="26"/>
        </w:numPr>
        <w:spacing w:after="80" w:line="312" w:lineRule="auto"/>
        <w:rPr>
          <w:rFonts w:asciiTheme="minorHAnsi" w:hAnsiTheme="minorHAnsi" w:cstheme="minorHAnsi"/>
          <w:color w:val="auto"/>
        </w:rPr>
      </w:pPr>
      <w:r w:rsidRPr="00BE603B">
        <w:rPr>
          <w:rFonts w:asciiTheme="minorHAnsi" w:hAnsiTheme="minorHAnsi"/>
          <w:color w:val="auto"/>
        </w:rPr>
        <w:t>I am willing to test new teaching methods and teaching tools – Yes / No</w:t>
      </w:r>
    </w:p>
    <w:p w14:paraId="2A979E5A" w14:textId="77B9B0E0" w:rsidR="00D81C7B" w:rsidRPr="00BE603B" w:rsidRDefault="00D81C7B" w:rsidP="00351264">
      <w:pPr>
        <w:pStyle w:val="Default"/>
        <w:numPr>
          <w:ilvl w:val="0"/>
          <w:numId w:val="26"/>
        </w:numPr>
        <w:spacing w:after="80" w:line="312" w:lineRule="auto"/>
        <w:rPr>
          <w:rFonts w:asciiTheme="minorHAnsi" w:hAnsiTheme="minorHAnsi" w:cstheme="minorHAnsi"/>
          <w:color w:val="auto"/>
        </w:rPr>
      </w:pPr>
      <w:r w:rsidRPr="00BE603B">
        <w:rPr>
          <w:rFonts w:asciiTheme="minorHAnsi" w:hAnsiTheme="minorHAnsi"/>
          <w:color w:val="auto"/>
        </w:rPr>
        <w:t>I am open to feedback from students and draw conclusions from it – Yes / No</w:t>
      </w:r>
    </w:p>
    <w:p w14:paraId="5221485C" w14:textId="3110277C" w:rsidR="00D81C7B" w:rsidRPr="00BE603B" w:rsidRDefault="00D81C7B" w:rsidP="00351264">
      <w:pPr>
        <w:pStyle w:val="Default"/>
        <w:numPr>
          <w:ilvl w:val="0"/>
          <w:numId w:val="26"/>
        </w:numPr>
        <w:spacing w:after="80" w:line="312" w:lineRule="auto"/>
        <w:rPr>
          <w:rFonts w:asciiTheme="minorHAnsi" w:hAnsiTheme="minorHAnsi" w:cstheme="minorHAnsi"/>
          <w:color w:val="auto"/>
        </w:rPr>
      </w:pPr>
      <w:r w:rsidRPr="00BE603B">
        <w:rPr>
          <w:rFonts w:asciiTheme="minorHAnsi" w:hAnsiTheme="minorHAnsi"/>
          <w:color w:val="auto"/>
        </w:rPr>
        <w:t>I am able to allocate time for training, courses, professional literature, and other forms of professional development – Yes / No</w:t>
      </w:r>
    </w:p>
    <w:p w14:paraId="6AE6BF88" w14:textId="2C518123" w:rsidR="00655906" w:rsidRPr="00BE603B" w:rsidRDefault="00B23190" w:rsidP="00351264">
      <w:pPr>
        <w:pStyle w:val="Default"/>
        <w:numPr>
          <w:ilvl w:val="0"/>
          <w:numId w:val="16"/>
        </w:numPr>
        <w:spacing w:after="80" w:line="312" w:lineRule="auto"/>
        <w:ind w:left="567" w:hanging="283"/>
        <w:rPr>
          <w:rFonts w:asciiTheme="minorHAnsi" w:hAnsiTheme="minorHAnsi" w:cstheme="minorHAnsi"/>
          <w:color w:val="auto"/>
        </w:rPr>
      </w:pPr>
      <w:r w:rsidRPr="00BE603B">
        <w:rPr>
          <w:rFonts w:asciiTheme="minorHAnsi" w:hAnsiTheme="minorHAnsi"/>
          <w:color w:val="auto"/>
        </w:rPr>
        <w:t>Delivering classes in English (applies to applications for the English language course) – 5 points;</w:t>
      </w:r>
      <w:bookmarkStart w:id="14" w:name="_Hlk212529941"/>
      <w:bookmarkEnd w:id="13"/>
    </w:p>
    <w:p w14:paraId="54192171" w14:textId="6443E99A" w:rsidR="004D5C7C" w:rsidRPr="00BE603B" w:rsidRDefault="004D5C7C" w:rsidP="004D5C7C">
      <w:pPr>
        <w:pStyle w:val="Default"/>
        <w:spacing w:after="80" w:line="312" w:lineRule="auto"/>
        <w:ind w:left="567"/>
        <w:rPr>
          <w:rFonts w:asciiTheme="minorHAnsi" w:hAnsiTheme="minorHAnsi" w:cstheme="minorHAnsi"/>
          <w:color w:val="auto"/>
        </w:rPr>
      </w:pPr>
      <w:r w:rsidRPr="00BE603B">
        <w:rPr>
          <w:rFonts w:asciiTheme="minorHAnsi" w:hAnsiTheme="minorHAnsi"/>
          <w:color w:val="auto"/>
        </w:rPr>
        <w:t>This refers to an applicant who, on the date of submission of the recruitment form, delivers classes in English or has a confirmed assignment to deliver classes in English in the current or upcoming academic year. This criterion applies exclusively to applications for the English language course and is verified on the basis of a declaration included in the recruitment form and, where a training need has been previously reported, on the basis of information obtained from the Didactic Excellence Office.</w:t>
      </w:r>
    </w:p>
    <w:bookmarkEnd w:id="12"/>
    <w:bookmarkEnd w:id="14"/>
    <w:p w14:paraId="69DA8498" w14:textId="1B960A43" w:rsidR="009F4D2A" w:rsidRPr="00BE603B" w:rsidRDefault="009F4D2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Recruitment is carried out through formal verification of applications on the basis of an analysis of the submitted recruitment form and attached documents, and the awarding of points as referred to in sec. 12.</w:t>
      </w:r>
    </w:p>
    <w:p w14:paraId="5D708C19" w14:textId="7FF42B17" w:rsidR="0001373E" w:rsidRPr="00BE603B" w:rsidRDefault="008278DA" w:rsidP="00297FE8">
      <w:pPr>
        <w:pStyle w:val="Akapitzlist"/>
        <w:numPr>
          <w:ilvl w:val="0"/>
          <w:numId w:val="6"/>
        </w:numPr>
        <w:spacing w:after="80" w:line="312" w:lineRule="auto"/>
        <w:ind w:left="426" w:hanging="426"/>
        <w:contextualSpacing w:val="0"/>
        <w:rPr>
          <w:rFonts w:cstheme="minorHAnsi"/>
          <w:bCs/>
          <w:strike/>
          <w:sz w:val="24"/>
          <w:szCs w:val="24"/>
        </w:rPr>
      </w:pPr>
      <w:r w:rsidRPr="00BE603B">
        <w:rPr>
          <w:sz w:val="24"/>
          <w:szCs w:val="24"/>
        </w:rPr>
        <w:t>In the event of an equal number of points, the order of applications shall be decisive.</w:t>
      </w:r>
    </w:p>
    <w:p w14:paraId="6940A103" w14:textId="715DD5D3" w:rsidR="00681A4E" w:rsidRPr="00BE603B" w:rsidRDefault="00451B23"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lastRenderedPageBreak/>
        <w:t>The Project Staff prepare periodic ranking lists for each Form of support. The Forms of support are limited.</w:t>
      </w:r>
    </w:p>
    <w:p w14:paraId="3B6B4268" w14:textId="5C995B05" w:rsidR="0060226A" w:rsidRPr="00BE603B" w:rsidRDefault="007F657E"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Applicants are informed of the recruitment results electronically by the Project Staff, through notification of inclusion on the list of Project participants under a given Form of support or inclusion on the reserve list.</w:t>
      </w:r>
    </w:p>
    <w:p w14:paraId="0A4B0EFC" w14:textId="77E3AA35" w:rsidR="00CA1C94" w:rsidRPr="00BE603B" w:rsidRDefault="000E0502"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 xml:space="preserve">Ranking lists contain a list of persons qualified to participate in the Project within the respective </w:t>
      </w:r>
      <w:r w:rsidR="00454F30">
        <w:rPr>
          <w:sz w:val="24"/>
          <w:szCs w:val="24"/>
        </w:rPr>
        <w:t>Forms of support</w:t>
      </w:r>
      <w:r w:rsidRPr="00BE603B">
        <w:rPr>
          <w:sz w:val="24"/>
          <w:szCs w:val="24"/>
        </w:rPr>
        <w:t>.</w:t>
      </w:r>
    </w:p>
    <w:p w14:paraId="60E216A7" w14:textId="302D34FC" w:rsidR="00A22D7D" w:rsidRPr="00BE603B" w:rsidRDefault="00914C6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If the number of applicants who successfully complete the recruitment process exceeds the number of places available for a given Form of support, the applicant will be placed on the reserve list for that Form of support.</w:t>
      </w:r>
    </w:p>
    <w:p w14:paraId="7EA17ED9" w14:textId="7D2E396C" w:rsidR="00D41C64" w:rsidRPr="00BE603B" w:rsidRDefault="005602CF"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Applicants from the reserve list will be qualified to participate in a Form of support in the event that persons from the main list withdraw before the start of the Form of support, allowing another applicant to participate fully in the Form of support.</w:t>
      </w:r>
    </w:p>
    <w:p w14:paraId="03B1F7D8" w14:textId="000D62AF" w:rsidR="00C52843" w:rsidRPr="00BE603B" w:rsidRDefault="00C52843"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Submitted documents are not subject to return.</w:t>
      </w:r>
    </w:p>
    <w:p w14:paraId="188EAC07" w14:textId="74FC39D2" w:rsidR="006976C5" w:rsidRPr="00BE603B" w:rsidRDefault="006976C5"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If the criteria specified in § 3, sec. 2 and § 4, sec. 1 are not met, the applicant shall not be qualified to participate in the Project.</w:t>
      </w:r>
    </w:p>
    <w:p w14:paraId="77BB9D02" w14:textId="1AEB0B25" w:rsidR="0083046A" w:rsidRPr="00BE603B" w:rsidRDefault="0083046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In the event of an applicant’s withdrawal or failure to provide the required documents or information necessary to participate in the recruitment process, the Project Staff shall remove the person from the ranking list. The applicant is informed of their removal without undue delay via email or through direct communication</w:t>
      </w:r>
    </w:p>
    <w:p w14:paraId="0DAFFDCD" w14:textId="7B56B030" w:rsidR="0083046A" w:rsidRPr="00BE603B" w:rsidRDefault="005602CF"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 xml:space="preserve">An applicant removed from the list or not qualified to participate in the Project may lodge an appeal with the Steering Group within 3 working days from the date of being informed of the removal. The decision of the Steering Group on the appeal shall be final. </w:t>
      </w:r>
      <w:bookmarkStart w:id="15" w:name="_Hlk191884568"/>
      <w:r w:rsidRPr="00BE603B">
        <w:rPr>
          <w:sz w:val="24"/>
          <w:szCs w:val="24"/>
        </w:rPr>
        <w:t>The appeal procedure is described in § 7, sec. 2 of the Regulations.</w:t>
      </w:r>
      <w:bookmarkEnd w:id="15"/>
    </w:p>
    <w:p w14:paraId="5D342FE9" w14:textId="432DB04A" w:rsidR="00A703FF" w:rsidRPr="00BE603B" w:rsidRDefault="0083046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Once the removal referred to in paragraph 23 becomes final, the Project Staff shall place on the ranking list for the given Form of support the person from the reserve list with the highest number of points awarded and shall immediately notify the applicant by e-mail or through direct communication.</w:t>
      </w:r>
    </w:p>
    <w:p w14:paraId="5047765E" w14:textId="176E4C46" w:rsidR="0083046A" w:rsidRPr="00BE603B" w:rsidRDefault="0083046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In the event of refusal to participate in a Form of support, the applicant from the reserve list shall be removed from the ranking list, and the applicant with the next highest number of points shall be entered in their place, who shall be notified immediately, and sec. 24 shall apply accordingly.</w:t>
      </w:r>
    </w:p>
    <w:p w14:paraId="0F25BDFE" w14:textId="6EE731CB" w:rsidR="002A091D" w:rsidRPr="00BE603B" w:rsidRDefault="002A091D"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Removal from the ranking list for a given Form of support does not preclude applying for participation in other Forms of support implemented under the Project.</w:t>
      </w:r>
    </w:p>
    <w:p w14:paraId="490DE4CE" w14:textId="39930196" w:rsidR="0083046A" w:rsidRPr="00BE603B" w:rsidRDefault="00C73DB3"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An applicant becomes a Project participant upon participation in the first Form of support.</w:t>
      </w:r>
    </w:p>
    <w:p w14:paraId="350F882E" w14:textId="1BF0FAB8" w:rsidR="0083046A" w:rsidRPr="00BE603B" w:rsidRDefault="0083046A"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lastRenderedPageBreak/>
        <w:t>After the closure of a given recruitment cycle for a given Form of support, the Project Staff shall prepare a report containing:</w:t>
      </w:r>
    </w:p>
    <w:p w14:paraId="2FE82248" w14:textId="38DEB192" w:rsidR="0083046A" w:rsidRPr="00BE603B" w:rsidRDefault="009C32A2" w:rsidP="00351264">
      <w:pPr>
        <w:pStyle w:val="Default"/>
        <w:numPr>
          <w:ilvl w:val="0"/>
          <w:numId w:val="14"/>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the ranking list of applicants qualified to participate in the given Form of support;</w:t>
      </w:r>
    </w:p>
    <w:p w14:paraId="7777E843" w14:textId="0B4BC6E5" w:rsidR="0083046A" w:rsidRPr="00BE603B" w:rsidRDefault="0083046A" w:rsidP="00351264">
      <w:pPr>
        <w:pStyle w:val="Default"/>
        <w:numPr>
          <w:ilvl w:val="0"/>
          <w:numId w:val="14"/>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the list of applicants removed, together with the reason for removal, and in the event of an appeal, the justification of the decision upholding the removal;</w:t>
      </w:r>
    </w:p>
    <w:p w14:paraId="4E1656D0" w14:textId="2CE372E4" w:rsidR="0083046A" w:rsidRPr="00BE603B" w:rsidRDefault="0083046A" w:rsidP="00351264">
      <w:pPr>
        <w:pStyle w:val="Default"/>
        <w:numPr>
          <w:ilvl w:val="0"/>
          <w:numId w:val="14"/>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the list of persons not admitted due to failure to meet the criteria referred to in § 4 sec. 1;</w:t>
      </w:r>
    </w:p>
    <w:p w14:paraId="7AAE8EC6" w14:textId="0E7DD7B6" w:rsidR="00A703FF" w:rsidRPr="00BE603B" w:rsidRDefault="00EC5F6D" w:rsidP="00351264">
      <w:pPr>
        <w:pStyle w:val="Default"/>
        <w:numPr>
          <w:ilvl w:val="0"/>
          <w:numId w:val="14"/>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the reserve list (if applicable).</w:t>
      </w:r>
    </w:p>
    <w:p w14:paraId="74739348" w14:textId="5F09A6EB" w:rsidR="005231F3" w:rsidRPr="00BE603B" w:rsidRDefault="00613997"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The Project Staff shall provide applicants with information regarding participation in a</w:t>
      </w:r>
      <w:r w:rsidR="00DA1050">
        <w:rPr>
          <w:sz w:val="24"/>
          <w:szCs w:val="24"/>
        </w:rPr>
        <w:t> </w:t>
      </w:r>
      <w:r w:rsidRPr="00BE603B">
        <w:rPr>
          <w:sz w:val="24"/>
          <w:szCs w:val="24"/>
        </w:rPr>
        <w:t>given Form of support electronically.</w:t>
      </w:r>
    </w:p>
    <w:p w14:paraId="7C97DDA0" w14:textId="16597FB8" w:rsidR="002A091D" w:rsidRPr="00BE603B" w:rsidRDefault="00C73DB3" w:rsidP="00F86372">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 xml:space="preserve">An applicant may participate in more than one </w:t>
      </w:r>
      <w:r w:rsidR="00454F30">
        <w:rPr>
          <w:sz w:val="24"/>
          <w:szCs w:val="24"/>
        </w:rPr>
        <w:t>Form of support</w:t>
      </w:r>
      <w:r w:rsidRPr="00BE603B">
        <w:rPr>
          <w:sz w:val="24"/>
          <w:szCs w:val="24"/>
        </w:rPr>
        <w:t xml:space="preserve"> within the Project, provided that they meet the eligibility criteria applicable to a given </w:t>
      </w:r>
      <w:r w:rsidR="00454F30">
        <w:rPr>
          <w:sz w:val="24"/>
          <w:szCs w:val="24"/>
        </w:rPr>
        <w:t>Form of support</w:t>
      </w:r>
      <w:r w:rsidRPr="00BE603B">
        <w:rPr>
          <w:sz w:val="24"/>
          <w:szCs w:val="24"/>
        </w:rPr>
        <w:t xml:space="preserve">, or after completing their participation in the Project and where grounds arise for participation in other or equivalent </w:t>
      </w:r>
      <w:r w:rsidR="00454F30">
        <w:rPr>
          <w:sz w:val="24"/>
          <w:szCs w:val="24"/>
        </w:rPr>
        <w:t>Forms of support</w:t>
      </w:r>
      <w:r w:rsidRPr="00BE603B">
        <w:rPr>
          <w:sz w:val="24"/>
          <w:szCs w:val="24"/>
        </w:rPr>
        <w:t>. In such a case, it is necessary to submit a new application and undergo the recruitment process again.</w:t>
      </w:r>
    </w:p>
    <w:p w14:paraId="2A9D8322" w14:textId="0FDE9D60" w:rsidR="00F86372" w:rsidRPr="00BE603B" w:rsidRDefault="0091322B" w:rsidP="00F86372">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 xml:space="preserve">In the case of </w:t>
      </w:r>
      <w:r w:rsidR="00454F30">
        <w:rPr>
          <w:sz w:val="24"/>
          <w:szCs w:val="24"/>
        </w:rPr>
        <w:t>Forms of support</w:t>
      </w:r>
      <w:r w:rsidRPr="00BE603B">
        <w:rPr>
          <w:sz w:val="24"/>
          <w:szCs w:val="24"/>
        </w:rPr>
        <w:t xml:space="preserve"> implemented in the form of </w:t>
      </w:r>
      <w:r w:rsidR="00C86D6C" w:rsidRPr="00C86D6C">
        <w:rPr>
          <w:sz w:val="24"/>
          <w:szCs w:val="24"/>
        </w:rPr>
        <w:t xml:space="preserve">elective training sessions and </w:t>
      </w:r>
      <w:r w:rsidRPr="00BE603B">
        <w:rPr>
          <w:sz w:val="24"/>
          <w:szCs w:val="24"/>
        </w:rPr>
        <w:t>study visits, participation is conditional upon the completion of four mandatory training sessions provided for in the Project, which is verified on the basis of Project documentation. The list of persons qualified to participate in study visits is approved by the Vice-Rector for Education; If</w:t>
      </w:r>
      <w:r w:rsidR="00DA1050">
        <w:rPr>
          <w:sz w:val="24"/>
          <w:szCs w:val="24"/>
        </w:rPr>
        <w:t> </w:t>
      </w:r>
      <w:r w:rsidRPr="00BE603B">
        <w:rPr>
          <w:sz w:val="24"/>
          <w:szCs w:val="24"/>
        </w:rPr>
        <w:t>necessary, the Rector of VIZJA University may replace the Vice-Rector in performing this function.</w:t>
      </w:r>
    </w:p>
    <w:p w14:paraId="523DB5BB" w14:textId="21B86836" w:rsidR="00A96625" w:rsidRPr="00BE603B" w:rsidRDefault="00A96625" w:rsidP="00297FE8">
      <w:pPr>
        <w:pStyle w:val="Akapitzlist"/>
        <w:numPr>
          <w:ilvl w:val="0"/>
          <w:numId w:val="6"/>
        </w:numPr>
        <w:spacing w:after="80" w:line="312" w:lineRule="auto"/>
        <w:ind w:left="426" w:hanging="426"/>
        <w:contextualSpacing w:val="0"/>
        <w:rPr>
          <w:rFonts w:cstheme="minorHAnsi"/>
          <w:bCs/>
          <w:sz w:val="24"/>
          <w:szCs w:val="24"/>
        </w:rPr>
      </w:pPr>
      <w:r w:rsidRPr="00BE603B">
        <w:rPr>
          <w:sz w:val="24"/>
          <w:szCs w:val="24"/>
        </w:rPr>
        <w:t>The recruitment process is conducted using a variety of communication channels:</w:t>
      </w:r>
    </w:p>
    <w:p w14:paraId="70C67BEF" w14:textId="1865C8D7" w:rsidR="00A96625" w:rsidRPr="00BE603B" w:rsidRDefault="00A96625" w:rsidP="00351264">
      <w:pPr>
        <w:pStyle w:val="Default"/>
        <w:numPr>
          <w:ilvl w:val="0"/>
          <w:numId w:val="19"/>
        </w:numPr>
        <w:spacing w:after="80" w:line="312" w:lineRule="auto"/>
        <w:ind w:left="567" w:hanging="283"/>
        <w:rPr>
          <w:rFonts w:asciiTheme="minorHAnsi" w:hAnsiTheme="minorHAnsi" w:cstheme="minorHAnsi"/>
          <w:bCs/>
          <w:color w:val="auto"/>
        </w:rPr>
      </w:pPr>
      <w:r w:rsidRPr="00BE603B">
        <w:t xml:space="preserve">electronic communication via the </w:t>
      </w:r>
      <w:hyperlink r:id="rId17" w:history="1">
        <w:r w:rsidRPr="00BE603B">
          <w:rPr>
            <w:rStyle w:val="Hipercze"/>
            <w:rFonts w:asciiTheme="minorHAnsi" w:hAnsiTheme="minorHAnsi"/>
            <w:color w:val="0070C0"/>
          </w:rPr>
          <w:t>Project website</w:t>
        </w:r>
      </w:hyperlink>
      <w:r w:rsidRPr="00BE603B">
        <w:t>, the electronic recruitment form available on the website, and e-mail</w:t>
      </w:r>
      <w:r w:rsidR="002A686C">
        <w:t>;</w:t>
      </w:r>
    </w:p>
    <w:p w14:paraId="4517854D" w14:textId="64C69597" w:rsidR="00A96625" w:rsidRPr="00BE603B" w:rsidRDefault="00A96625" w:rsidP="00351264">
      <w:pPr>
        <w:pStyle w:val="Default"/>
        <w:numPr>
          <w:ilvl w:val="0"/>
          <w:numId w:val="19"/>
        </w:numPr>
        <w:spacing w:after="80" w:line="312" w:lineRule="auto"/>
        <w:ind w:left="567" w:hanging="283"/>
        <w:rPr>
          <w:rFonts w:asciiTheme="minorHAnsi" w:hAnsiTheme="minorHAnsi" w:cstheme="minorHAnsi"/>
          <w:bCs/>
          <w:color w:val="auto"/>
        </w:rPr>
      </w:pPr>
      <w:r w:rsidRPr="00BE603B">
        <w:rPr>
          <w:rFonts w:asciiTheme="minorHAnsi" w:hAnsiTheme="minorHAnsi"/>
          <w:color w:val="auto"/>
        </w:rPr>
        <w:t>direct communication with teaching staff members, doctoral candidates, applicants, and Project participants, i.e. in-person and telephone communication with the Project Staff;</w:t>
      </w:r>
    </w:p>
    <w:p w14:paraId="5855F733" w14:textId="1BD5BE99" w:rsidR="00A96625" w:rsidRPr="00BE603B" w:rsidRDefault="00A96625" w:rsidP="00351264">
      <w:pPr>
        <w:pStyle w:val="Default"/>
        <w:numPr>
          <w:ilvl w:val="0"/>
          <w:numId w:val="19"/>
        </w:numPr>
        <w:spacing w:after="80" w:line="312" w:lineRule="auto"/>
        <w:ind w:left="567" w:hanging="283"/>
        <w:rPr>
          <w:rFonts w:asciiTheme="minorHAnsi" w:hAnsiTheme="minorHAnsi" w:cstheme="minorHAnsi"/>
          <w:bCs/>
          <w:color w:val="auto"/>
        </w:rPr>
      </w:pPr>
      <w:r w:rsidRPr="00BE603B">
        <w:t xml:space="preserve">in the event that a teaching staff member, doctoral candidate, applicant, or Project participant has special needs with regard to communication and participation in the recruitment process, they may submit such information in order to obtain support to the Project Office (European Projects Department office, room no. 614, 6th floor; telephone number: 22 53 65 453; e-mail address: </w:t>
      </w:r>
      <w:hyperlink r:id="rId18" w:history="1">
        <w:r w:rsidRPr="00BE603B">
          <w:rPr>
            <w:rStyle w:val="Hipercze"/>
            <w:rFonts w:asciiTheme="minorHAnsi" w:hAnsiTheme="minorHAnsi"/>
            <w:color w:val="0070C0"/>
          </w:rPr>
          <w:t>projektyeuropejskie@vizja.pl</w:t>
        </w:r>
      </w:hyperlink>
      <w:r w:rsidRPr="00BE603B">
        <w:t>; staff available for direct contact from Monday to Friday between 9:00 and 15:00). This includes personalized communication, such as the use of an induction loop, conducting an individual in-depth consultation, holding a conversation in a room isolated from external sound stimuli, or the possibility of contact through an authorized person.</w:t>
      </w:r>
    </w:p>
    <w:p w14:paraId="5A5CF7D6" w14:textId="12767EE7" w:rsidR="00A22D7D" w:rsidRPr="007B5F8B" w:rsidRDefault="00C52843"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16" w:name="_Toc228786945"/>
      <w:r>
        <w:rPr>
          <w:rFonts w:asciiTheme="minorHAnsi" w:hAnsiTheme="minorHAnsi"/>
          <w:color w:val="auto"/>
          <w:sz w:val="30"/>
        </w:rPr>
        <w:lastRenderedPageBreak/>
        <w:t>§ 5 Organization of the Forms of support</w:t>
      </w:r>
      <w:bookmarkEnd w:id="16"/>
    </w:p>
    <w:p w14:paraId="06BD399F" w14:textId="10536D57" w:rsidR="000A5F17" w:rsidRPr="00BE603B" w:rsidRDefault="00454F30" w:rsidP="00297FE8">
      <w:pPr>
        <w:pStyle w:val="Akapitzlist"/>
        <w:numPr>
          <w:ilvl w:val="0"/>
          <w:numId w:val="7"/>
        </w:numPr>
        <w:spacing w:after="80" w:line="312" w:lineRule="auto"/>
        <w:ind w:left="284" w:hanging="284"/>
        <w:contextualSpacing w:val="0"/>
        <w:rPr>
          <w:rFonts w:cstheme="minorHAnsi"/>
          <w:sz w:val="24"/>
          <w:szCs w:val="24"/>
        </w:rPr>
      </w:pPr>
      <w:r>
        <w:rPr>
          <w:sz w:val="24"/>
          <w:szCs w:val="24"/>
        </w:rPr>
        <w:t>Forms of support</w:t>
      </w:r>
      <w:r w:rsidR="00C31283" w:rsidRPr="00BE603B">
        <w:rPr>
          <w:sz w:val="24"/>
          <w:szCs w:val="24"/>
        </w:rPr>
        <w:t xml:space="preserve"> are organized and implemented during the Project implementation period until its completion, i.e., no later than 31.07.2028, in accordance with the provisions of the funding application and the adopted schedule for the implementation of </w:t>
      </w:r>
      <w:r>
        <w:rPr>
          <w:sz w:val="24"/>
          <w:szCs w:val="24"/>
        </w:rPr>
        <w:t>Forms of support</w:t>
      </w:r>
      <w:r w:rsidR="00C31283" w:rsidRPr="00BE603B">
        <w:rPr>
          <w:sz w:val="24"/>
          <w:szCs w:val="24"/>
        </w:rPr>
        <w:t xml:space="preserve">. The schedule for the implementation of support within the Project will be published on the </w:t>
      </w:r>
      <w:hyperlink r:id="rId19" w:history="1">
        <w:r w:rsidR="00C31283" w:rsidRPr="00BE603B">
          <w:rPr>
            <w:rStyle w:val="Hipercze"/>
            <w:color w:val="0070C0"/>
            <w:sz w:val="24"/>
            <w:szCs w:val="24"/>
          </w:rPr>
          <w:t>Project website</w:t>
        </w:r>
      </w:hyperlink>
      <w:r w:rsidR="00C31283" w:rsidRPr="00BE603B">
        <w:rPr>
          <w:sz w:val="24"/>
          <w:szCs w:val="24"/>
        </w:rPr>
        <w:t xml:space="preserve"> at least 7 calendar days prior to the planned commencement of support implementation under the Project and will be updated with subsequent planned support dates and any changes.</w:t>
      </w:r>
    </w:p>
    <w:p w14:paraId="2933F647" w14:textId="7A6B83C3" w:rsidR="009126CF" w:rsidRPr="00BE603B" w:rsidRDefault="00DD722E" w:rsidP="00297FE8">
      <w:pPr>
        <w:pStyle w:val="Akapitzlist"/>
        <w:numPr>
          <w:ilvl w:val="0"/>
          <w:numId w:val="7"/>
        </w:numPr>
        <w:spacing w:after="80" w:line="312" w:lineRule="auto"/>
        <w:ind w:left="284" w:hanging="284"/>
        <w:contextualSpacing w:val="0"/>
        <w:rPr>
          <w:rFonts w:cstheme="minorHAnsi"/>
          <w:sz w:val="24"/>
          <w:szCs w:val="24"/>
        </w:rPr>
      </w:pPr>
      <w:r w:rsidRPr="00BE603B">
        <w:rPr>
          <w:sz w:val="24"/>
          <w:szCs w:val="24"/>
        </w:rPr>
        <w:t>At all stages of Project implementation, equality principles are observed (the principles set out in the document entitled “Guidelines on the implementation of equality principles under EU funds for 2021–2027”, a document available on the</w:t>
      </w:r>
      <w:hyperlink r:id="rId20" w:history="1">
        <w:r w:rsidRPr="00BE603B">
          <w:rPr>
            <w:rStyle w:val="Hipercze"/>
            <w:color w:val="0070C0"/>
            <w:sz w:val="24"/>
            <w:szCs w:val="24"/>
          </w:rPr>
          <w:t xml:space="preserve"> website of the European Funds Portal)</w:t>
        </w:r>
      </w:hyperlink>
      <w:r w:rsidRPr="00BE603B">
        <w:rPr>
          <w:sz w:val="24"/>
          <w:szCs w:val="24"/>
        </w:rPr>
        <w:t>, including, within recruitment and the implementation of the Forms of support, the application of appropriate accessibility standards (the standards set out</w:t>
      </w:r>
      <w:bookmarkStart w:id="17" w:name="_Hlk217041902"/>
      <w:r w:rsidRPr="00BE603B">
        <w:rPr>
          <w:sz w:val="24"/>
          <w:szCs w:val="24"/>
        </w:rPr>
        <w:t xml:space="preserve"> in the document entitled “Annex No. 2. Accessibility Standards for the 2021‑2027 Cohesion Policy.”</w:t>
      </w:r>
      <w:bookmarkEnd w:id="17"/>
      <w:r w:rsidRPr="00BE603B">
        <w:rPr>
          <w:sz w:val="24"/>
          <w:szCs w:val="24"/>
        </w:rPr>
        <w:t>). The main principles and actions applied in this area include:</w:t>
      </w:r>
    </w:p>
    <w:p w14:paraId="04C4C78E" w14:textId="3AD9DB0F" w:rsidR="00750D07" w:rsidRPr="00BE603B" w:rsidRDefault="00750D07"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t xml:space="preserve">recruitment and implementation of the Forms of support are carried out with respect for all differences and diversity of persons involved in these activities, including with regard to gender, age, race, skin </w:t>
      </w:r>
      <w:proofErr w:type="spellStart"/>
      <w:r w:rsidRPr="00BE603B">
        <w:rPr>
          <w:sz w:val="24"/>
          <w:szCs w:val="24"/>
        </w:rPr>
        <w:t>colour</w:t>
      </w:r>
      <w:proofErr w:type="spellEnd"/>
      <w:r w:rsidRPr="00BE603B">
        <w:rPr>
          <w:sz w:val="24"/>
          <w:szCs w:val="24"/>
        </w:rPr>
        <w:t>, ethnic or social origin, disability status, genetic characteristics, religion or beliefs, political views, membership of a national minority, and other differences;</w:t>
      </w:r>
    </w:p>
    <w:p w14:paraId="392F62F3" w14:textId="63E59B3A" w:rsidR="00750D07" w:rsidRPr="00BE603B" w:rsidRDefault="00750D07"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t>ensuring full participation in the implemented Forms of support for every person regardless of their differences, meaning that the Project, irrespective of individual differences, ensures fair and full participation in its activities, including recruitment and the use of its products and results;</w:t>
      </w:r>
    </w:p>
    <w:p w14:paraId="06E56DD8" w14:textId="415ED5D4" w:rsidR="00750D07" w:rsidRPr="00BE603B" w:rsidRDefault="00750D07"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t>ensuring support for every person regardless of their differences, taking into account their individual preferences and, where applicable, their special needs, meaning that the Project enables persons with special needs to participate in its activities and benefit from its effects on an equal basis with others;</w:t>
      </w:r>
    </w:p>
    <w:p w14:paraId="34E7CEF9" w14:textId="5027BC9D" w:rsidR="00067974" w:rsidRPr="00BE603B" w:rsidRDefault="00067974"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t>ensuring a state of Project implementation in which women and men are attributed the same social value, equal rights, and equal obligations, and have equal access to Project resources (its Forms of support) from which they may benefit</w:t>
      </w:r>
      <w:r w:rsidR="002A686C">
        <w:rPr>
          <w:sz w:val="24"/>
          <w:szCs w:val="24"/>
        </w:rPr>
        <w:t>;</w:t>
      </w:r>
    </w:p>
    <w:p w14:paraId="21125596" w14:textId="66D0D35D" w:rsidR="00750D07" w:rsidRPr="00BE603B" w:rsidRDefault="00067974"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t>counteracting discrimination, inter alia, by refraining from any discriminatory behavior towards applicants and Project participants, including the use of gender stereotypes or stereotypes related to other differences, and by monitoring the occurrence of such behavior among applicants or Project participants;</w:t>
      </w:r>
    </w:p>
    <w:p w14:paraId="4C76296B" w14:textId="2E101CF4" w:rsidR="00155CBC" w:rsidRPr="00BE603B" w:rsidRDefault="00155CBC" w:rsidP="00351264">
      <w:pPr>
        <w:pStyle w:val="Akapitzlist"/>
        <w:numPr>
          <w:ilvl w:val="0"/>
          <w:numId w:val="15"/>
        </w:numPr>
        <w:spacing w:before="100" w:after="80" w:line="312" w:lineRule="auto"/>
        <w:ind w:left="567" w:hanging="283"/>
        <w:contextualSpacing w:val="0"/>
        <w:rPr>
          <w:rFonts w:cstheme="minorHAnsi"/>
          <w:sz w:val="24"/>
          <w:szCs w:val="24"/>
        </w:rPr>
      </w:pPr>
      <w:r w:rsidRPr="00BE603B">
        <w:rPr>
          <w:sz w:val="24"/>
          <w:szCs w:val="24"/>
        </w:rPr>
        <w:lastRenderedPageBreak/>
        <w:t>any person, at any stage of recruitment and participation in the Forms of support, may report to the Project Office the occurrence of a special need related to their participation in recruitment or use of the Forms of support; in the event of special needs among applicants or Project participants, the solutions and reasonable accommodations specified in the applicable accessibility standards contained in the document entitled “Annex No. 2. Accessibility Standards for the 2021‑2027 Cohesion Policy”</w:t>
      </w:r>
      <w:r w:rsidR="002A686C">
        <w:rPr>
          <w:sz w:val="24"/>
          <w:szCs w:val="24"/>
        </w:rPr>
        <w:t>.</w:t>
      </w:r>
    </w:p>
    <w:p w14:paraId="492BDEAD" w14:textId="4CA7DD82" w:rsidR="009B7DBF" w:rsidRPr="00BE603B" w:rsidRDefault="006D7471" w:rsidP="00297FE8">
      <w:pPr>
        <w:pStyle w:val="Akapitzlist"/>
        <w:numPr>
          <w:ilvl w:val="0"/>
          <w:numId w:val="7"/>
        </w:numPr>
        <w:spacing w:after="80" w:line="312" w:lineRule="auto"/>
        <w:ind w:left="284" w:hanging="284"/>
        <w:contextualSpacing w:val="0"/>
        <w:rPr>
          <w:rFonts w:cstheme="minorHAnsi"/>
          <w:sz w:val="24"/>
          <w:szCs w:val="24"/>
        </w:rPr>
      </w:pPr>
      <w:r w:rsidRPr="00BE603B">
        <w:rPr>
          <w:sz w:val="24"/>
          <w:szCs w:val="24"/>
        </w:rPr>
        <w:t>The Forms of support implemented under the Project are free of charge and do not require the payment of any additional fees.</w:t>
      </w:r>
    </w:p>
    <w:p w14:paraId="1A1119BD" w14:textId="1B51A6E9" w:rsidR="00F65814" w:rsidRPr="007B5F8B" w:rsidRDefault="00BF1A60"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18" w:name="_Toc228786946"/>
      <w:r>
        <w:rPr>
          <w:rFonts w:asciiTheme="minorHAnsi" w:hAnsiTheme="minorHAnsi"/>
          <w:color w:val="auto"/>
          <w:sz w:val="30"/>
        </w:rPr>
        <w:t>§ 6 Rights and obligations of Project participants</w:t>
      </w:r>
      <w:bookmarkEnd w:id="18"/>
    </w:p>
    <w:p w14:paraId="50905EED" w14:textId="25D680C2" w:rsidR="00F65814" w:rsidRPr="00BE603B" w:rsidRDefault="00DF66AA" w:rsidP="00297FE8">
      <w:pPr>
        <w:pStyle w:val="Akapitzlist"/>
        <w:numPr>
          <w:ilvl w:val="0"/>
          <w:numId w:val="8"/>
        </w:numPr>
        <w:spacing w:after="80" w:line="312" w:lineRule="auto"/>
        <w:ind w:left="284" w:hanging="284"/>
        <w:contextualSpacing w:val="0"/>
        <w:rPr>
          <w:rFonts w:cstheme="minorHAnsi"/>
          <w:sz w:val="24"/>
          <w:szCs w:val="24"/>
        </w:rPr>
      </w:pPr>
      <w:r w:rsidRPr="00BE603B">
        <w:rPr>
          <w:sz w:val="24"/>
          <w:szCs w:val="24"/>
        </w:rPr>
        <w:t>A Project participant has the right to:</w:t>
      </w:r>
    </w:p>
    <w:p w14:paraId="10042F3E" w14:textId="404C9EE1" w:rsidR="0025360E" w:rsidRPr="00BE603B" w:rsidRDefault="0025360E" w:rsidP="00351264">
      <w:pPr>
        <w:pStyle w:val="Akapitzlist"/>
        <w:numPr>
          <w:ilvl w:val="0"/>
          <w:numId w:val="17"/>
        </w:numPr>
        <w:spacing w:before="100" w:after="80" w:line="312" w:lineRule="auto"/>
        <w:ind w:left="567" w:hanging="283"/>
        <w:contextualSpacing w:val="0"/>
        <w:rPr>
          <w:rFonts w:cstheme="minorHAnsi"/>
          <w:sz w:val="24"/>
          <w:szCs w:val="24"/>
        </w:rPr>
      </w:pPr>
      <w:r w:rsidRPr="00BE603B">
        <w:rPr>
          <w:sz w:val="24"/>
          <w:szCs w:val="24"/>
        </w:rPr>
        <w:t>free-of-charge use of the Form of support;</w:t>
      </w:r>
    </w:p>
    <w:p w14:paraId="0214F684" w14:textId="76413636" w:rsidR="00472F0A" w:rsidRPr="00BE603B" w:rsidRDefault="0080352E" w:rsidP="00351264">
      <w:pPr>
        <w:pStyle w:val="Akapitzlist"/>
        <w:numPr>
          <w:ilvl w:val="0"/>
          <w:numId w:val="17"/>
        </w:numPr>
        <w:spacing w:before="100" w:after="80" w:line="312" w:lineRule="auto"/>
        <w:ind w:left="567" w:hanging="283"/>
        <w:contextualSpacing w:val="0"/>
        <w:rPr>
          <w:rFonts w:cstheme="minorHAnsi"/>
          <w:sz w:val="24"/>
          <w:szCs w:val="24"/>
        </w:rPr>
      </w:pPr>
      <w:r w:rsidRPr="00BE603B">
        <w:rPr>
          <w:sz w:val="24"/>
          <w:szCs w:val="24"/>
        </w:rPr>
        <w:t>access to and correction of their personal data processed for the purposes of Project implementation;</w:t>
      </w:r>
    </w:p>
    <w:p w14:paraId="2275BE2E" w14:textId="40C57089" w:rsidR="00F65814" w:rsidRPr="00BE603B" w:rsidRDefault="00F65814" w:rsidP="00351264">
      <w:pPr>
        <w:pStyle w:val="Akapitzlist"/>
        <w:numPr>
          <w:ilvl w:val="0"/>
          <w:numId w:val="17"/>
        </w:numPr>
        <w:spacing w:before="100" w:after="80" w:line="312" w:lineRule="auto"/>
        <w:ind w:left="567" w:hanging="283"/>
        <w:contextualSpacing w:val="0"/>
        <w:rPr>
          <w:rFonts w:cstheme="minorHAnsi"/>
          <w:sz w:val="24"/>
          <w:szCs w:val="24"/>
        </w:rPr>
      </w:pPr>
      <w:r w:rsidRPr="00BE603B">
        <w:rPr>
          <w:sz w:val="24"/>
          <w:szCs w:val="24"/>
        </w:rPr>
        <w:t>be treated with dignity, in accordance with the principles of equal opportunities and non-discrimination</w:t>
      </w:r>
      <w:r w:rsidR="002A686C">
        <w:rPr>
          <w:sz w:val="24"/>
          <w:szCs w:val="24"/>
        </w:rPr>
        <w:t>;</w:t>
      </w:r>
    </w:p>
    <w:p w14:paraId="2A534E42" w14:textId="0F95AC3C" w:rsidR="00FC4BC5" w:rsidRPr="00BE603B" w:rsidRDefault="0080352E" w:rsidP="00351264">
      <w:pPr>
        <w:pStyle w:val="Akapitzlist"/>
        <w:numPr>
          <w:ilvl w:val="0"/>
          <w:numId w:val="17"/>
        </w:numPr>
        <w:spacing w:before="100" w:after="80" w:line="312" w:lineRule="auto"/>
        <w:ind w:left="567" w:hanging="283"/>
        <w:contextualSpacing w:val="0"/>
        <w:rPr>
          <w:rFonts w:cstheme="minorHAnsi"/>
          <w:sz w:val="24"/>
          <w:szCs w:val="24"/>
        </w:rPr>
      </w:pPr>
      <w:r w:rsidRPr="00BE603B">
        <w:rPr>
          <w:sz w:val="24"/>
          <w:szCs w:val="24"/>
        </w:rPr>
        <w:t xml:space="preserve">change the date of participation in a given Form of support (reassignment to another group) in the event of an important reason, provided that at least 7 days’ prior notice is given, and in the case of circumstances preventing compliance with this deadline, to immediately notify the cancellation of participation in the </w:t>
      </w:r>
      <w:r w:rsidR="00454F30">
        <w:rPr>
          <w:sz w:val="24"/>
          <w:szCs w:val="24"/>
        </w:rPr>
        <w:t>Forms of support</w:t>
      </w:r>
      <w:r w:rsidRPr="00BE603B">
        <w:rPr>
          <w:sz w:val="24"/>
          <w:szCs w:val="24"/>
        </w:rPr>
        <w:t xml:space="preserve">, stating the reason for cancellation; this does not apply to </w:t>
      </w:r>
      <w:r w:rsidR="00454F30">
        <w:rPr>
          <w:sz w:val="24"/>
          <w:szCs w:val="24"/>
        </w:rPr>
        <w:t>Forms of support</w:t>
      </w:r>
      <w:r w:rsidRPr="00BE603B">
        <w:rPr>
          <w:sz w:val="24"/>
          <w:szCs w:val="24"/>
        </w:rPr>
        <w:t xml:space="preserve"> in the form of study visits, as due to the nature of this </w:t>
      </w:r>
      <w:r w:rsidR="00454F30">
        <w:rPr>
          <w:sz w:val="24"/>
          <w:szCs w:val="24"/>
        </w:rPr>
        <w:t>Form of support</w:t>
      </w:r>
      <w:r w:rsidRPr="00BE603B">
        <w:rPr>
          <w:sz w:val="24"/>
          <w:szCs w:val="24"/>
        </w:rPr>
        <w:t>, changes to the implementation date are not possible</w:t>
      </w:r>
      <w:r w:rsidR="00DA1050">
        <w:rPr>
          <w:sz w:val="24"/>
          <w:szCs w:val="24"/>
        </w:rPr>
        <w:t>;</w:t>
      </w:r>
    </w:p>
    <w:p w14:paraId="2F1F01EA" w14:textId="7B344E7A" w:rsidR="0025360E" w:rsidRPr="00BE603B" w:rsidRDefault="0025360E" w:rsidP="00351264">
      <w:pPr>
        <w:pStyle w:val="Akapitzlist"/>
        <w:numPr>
          <w:ilvl w:val="0"/>
          <w:numId w:val="17"/>
        </w:numPr>
        <w:spacing w:before="100" w:after="80" w:line="312" w:lineRule="auto"/>
        <w:ind w:left="567" w:hanging="283"/>
        <w:contextualSpacing w:val="0"/>
        <w:rPr>
          <w:rFonts w:cstheme="minorHAnsi"/>
          <w:sz w:val="24"/>
          <w:szCs w:val="24"/>
        </w:rPr>
      </w:pPr>
      <w:r w:rsidRPr="00BE603B">
        <w:rPr>
          <w:sz w:val="24"/>
          <w:szCs w:val="24"/>
        </w:rPr>
        <w:t>withdrawal from participation in the Project by submitting a written statement containing justification for the reason for withdrawal.</w:t>
      </w:r>
    </w:p>
    <w:p w14:paraId="04E9BFFB" w14:textId="568839BA" w:rsidR="00F65814" w:rsidRPr="00BE603B" w:rsidRDefault="00DF66AA" w:rsidP="00297FE8">
      <w:pPr>
        <w:pStyle w:val="Akapitzlist"/>
        <w:numPr>
          <w:ilvl w:val="0"/>
          <w:numId w:val="8"/>
        </w:numPr>
        <w:spacing w:after="80" w:line="312" w:lineRule="auto"/>
        <w:ind w:left="284" w:hanging="284"/>
        <w:contextualSpacing w:val="0"/>
        <w:rPr>
          <w:rFonts w:cstheme="minorHAnsi"/>
          <w:sz w:val="24"/>
          <w:szCs w:val="24"/>
        </w:rPr>
      </w:pPr>
      <w:r w:rsidRPr="00BE603B">
        <w:rPr>
          <w:sz w:val="24"/>
          <w:szCs w:val="24"/>
        </w:rPr>
        <w:t>A Project participant is obliged to:</w:t>
      </w:r>
    </w:p>
    <w:p w14:paraId="1676ACB2" w14:textId="32A61552" w:rsidR="007504EF" w:rsidRPr="00BE603B" w:rsidRDefault="00580568"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comply with the provisions of these Regulations;</w:t>
      </w:r>
    </w:p>
    <w:p w14:paraId="61CBD818" w14:textId="7C14D659" w:rsidR="00F65814" w:rsidRPr="00BE603B" w:rsidRDefault="00F65814"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comply with the safety rules applicable on the campus of V</w:t>
      </w:r>
      <w:r w:rsidR="002433D2">
        <w:rPr>
          <w:sz w:val="24"/>
          <w:szCs w:val="24"/>
        </w:rPr>
        <w:t>IZJA</w:t>
      </w:r>
      <w:r w:rsidRPr="00BE603B">
        <w:rPr>
          <w:sz w:val="24"/>
          <w:szCs w:val="24"/>
        </w:rPr>
        <w:t xml:space="preserve"> University where the Forms of support are implemented;</w:t>
      </w:r>
    </w:p>
    <w:p w14:paraId="642DE9BB" w14:textId="67F0A6CC" w:rsidR="001C0075" w:rsidRPr="00BE603B" w:rsidRDefault="0025360E"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actively participate in the Form of support;</w:t>
      </w:r>
    </w:p>
    <w:p w14:paraId="6E629296" w14:textId="1776B555" w:rsidR="0025360E" w:rsidRPr="00BE603B" w:rsidRDefault="0025360E"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promptly notify the Project Office of any changes to personal data that were required at the recruitment stage of the Project (including changes to first name, last name, and address details)</w:t>
      </w:r>
      <w:r w:rsidR="002A686C">
        <w:rPr>
          <w:sz w:val="24"/>
          <w:szCs w:val="24"/>
        </w:rPr>
        <w:t>;</w:t>
      </w:r>
    </w:p>
    <w:p w14:paraId="2904D21C" w14:textId="4181DAB5" w:rsidR="0025360E" w:rsidRPr="00BE603B" w:rsidRDefault="00416807"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lastRenderedPageBreak/>
        <w:t>complete knowledge and skills assessment tests in a given thematic area (pre- and post-tests – a four-stage process of competence acquisition assessment), as well as evaluation questionnaires, and participate in the Project evaluation process during its implementation and after its completion;</w:t>
      </w:r>
    </w:p>
    <w:p w14:paraId="20FF4CA2" w14:textId="0ADC36DA" w:rsidR="000D78D5" w:rsidRPr="00BE603B" w:rsidRDefault="000D78D5"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participate in a preparatory session preceding the study visit, take part in the study visit itself, participate in the post-visit evaluation, and prepare and submit a report on the study visit, including implementation recommendations, together with confirmation of participation in the visit;</w:t>
      </w:r>
    </w:p>
    <w:p w14:paraId="0DE8162B" w14:textId="1AE7CF7F" w:rsidR="00F65814" w:rsidRPr="00BE603B" w:rsidRDefault="000D78D5" w:rsidP="00351264">
      <w:pPr>
        <w:pStyle w:val="Akapitzlist"/>
        <w:numPr>
          <w:ilvl w:val="0"/>
          <w:numId w:val="21"/>
        </w:numPr>
        <w:spacing w:before="100" w:after="80" w:line="312" w:lineRule="auto"/>
        <w:ind w:left="567" w:hanging="283"/>
        <w:contextualSpacing w:val="0"/>
        <w:rPr>
          <w:rFonts w:cstheme="minorHAnsi"/>
          <w:sz w:val="24"/>
          <w:szCs w:val="24"/>
        </w:rPr>
      </w:pPr>
      <w:r w:rsidRPr="00BE603B">
        <w:rPr>
          <w:sz w:val="24"/>
          <w:szCs w:val="24"/>
        </w:rPr>
        <w:t>report to the Project Office all observed instances of discrimination and breaches of equality principles during Project implementation.</w:t>
      </w:r>
    </w:p>
    <w:p w14:paraId="1D0A601F" w14:textId="1F37257B" w:rsidR="00374EAF" w:rsidRPr="00BE603B" w:rsidRDefault="00374EAF" w:rsidP="00297FE8">
      <w:pPr>
        <w:pStyle w:val="Akapitzlist"/>
        <w:numPr>
          <w:ilvl w:val="0"/>
          <w:numId w:val="8"/>
        </w:numPr>
        <w:spacing w:after="80" w:line="312" w:lineRule="auto"/>
        <w:ind w:left="284" w:hanging="284"/>
        <w:contextualSpacing w:val="0"/>
        <w:rPr>
          <w:rFonts w:cstheme="minorHAnsi"/>
          <w:sz w:val="24"/>
          <w:szCs w:val="24"/>
        </w:rPr>
      </w:pPr>
      <w:bookmarkStart w:id="19" w:name="_Hlk182478096"/>
      <w:r w:rsidRPr="00BE603B">
        <w:rPr>
          <w:sz w:val="24"/>
          <w:szCs w:val="24"/>
        </w:rPr>
        <w:t xml:space="preserve">Compliance with equality principles takes place at all stages of Project implementation, in particular with regard to </w:t>
      </w:r>
      <w:bookmarkEnd w:id="19"/>
      <w:r w:rsidRPr="00BE603B">
        <w:rPr>
          <w:sz w:val="24"/>
          <w:szCs w:val="24"/>
        </w:rPr>
        <w:t xml:space="preserve">Project participants. We inform you of the possibility to review materials on compliance with horizontal principles, including, among others, gender equality and equal opportunity rules that apply to projects co‑financed under the EU financial perspective for 2021–2027. These resources are available on the website </w:t>
      </w:r>
      <w:hyperlink r:id="rId21" w:history="1">
        <w:r w:rsidRPr="00BE603B">
          <w:rPr>
            <w:rStyle w:val="Hipercze"/>
            <w:color w:val="0070C0"/>
            <w:sz w:val="24"/>
            <w:szCs w:val="24"/>
          </w:rPr>
          <w:t>Compliance with Equality Principles – Ministry of Funds and Regional Policy.</w:t>
        </w:r>
      </w:hyperlink>
    </w:p>
    <w:p w14:paraId="321640E8" w14:textId="17EC0A7B" w:rsidR="00374EAF" w:rsidRPr="00BE603B" w:rsidRDefault="00374EAF" w:rsidP="00297FE8">
      <w:pPr>
        <w:pStyle w:val="Akapitzlist"/>
        <w:numPr>
          <w:ilvl w:val="0"/>
          <w:numId w:val="8"/>
        </w:numPr>
        <w:spacing w:after="80" w:line="312" w:lineRule="auto"/>
        <w:ind w:left="284" w:hanging="284"/>
        <w:contextualSpacing w:val="0"/>
        <w:rPr>
          <w:rFonts w:cstheme="minorHAnsi"/>
          <w:sz w:val="24"/>
          <w:szCs w:val="24"/>
        </w:rPr>
      </w:pPr>
      <w:r w:rsidRPr="00BE603B">
        <w:rPr>
          <w:sz w:val="24"/>
          <w:szCs w:val="24"/>
        </w:rPr>
        <w:t>We hereby inform you that it is possible to report suspicions of non‑compliance between the Project or the Beneficiary’s activities and the Convention on the Rights of Persons with Disabilities (the “CRPD”), adopted in New York on 13 December 2006 (Journal of Laws 2012, item 1169, as amended), to either the Managing Authority (Ministry of Development Funds and Regional Policy of Poland) or the Intermediary Institution (National Centre for Research and Development). Signals, reports, or complaints concerning potential violations of the CRPD by FERS projects may be submitted by individuals (project participants or their representatives), participating institutions in EU fund implementation, or civil‑society organizations (associations, foundations). Submissions should be made via (in each case listed below, the notification is deemed to have been submitted in written form):</w:t>
      </w:r>
    </w:p>
    <w:p w14:paraId="1AC4CE3D" w14:textId="590033B3" w:rsidR="00374EAF" w:rsidRPr="00BE603B" w:rsidRDefault="00374EAF" w:rsidP="00351264">
      <w:pPr>
        <w:pStyle w:val="Akapitzlist"/>
        <w:numPr>
          <w:ilvl w:val="0"/>
          <w:numId w:val="18"/>
        </w:numPr>
        <w:spacing w:before="100" w:after="80" w:line="312" w:lineRule="auto"/>
        <w:ind w:left="567" w:hanging="283"/>
        <w:contextualSpacing w:val="0"/>
        <w:rPr>
          <w:rFonts w:cstheme="minorHAnsi"/>
          <w:sz w:val="24"/>
          <w:szCs w:val="24"/>
        </w:rPr>
      </w:pPr>
      <w:r w:rsidRPr="00BE603B">
        <w:rPr>
          <w:sz w:val="24"/>
          <w:szCs w:val="24"/>
        </w:rPr>
        <w:t xml:space="preserve">traditional mail – in a letter addressed to the Ministry: Ministry of Development Funds and Regional Policy of Poland, ul. </w:t>
      </w:r>
      <w:proofErr w:type="spellStart"/>
      <w:r w:rsidRPr="00BE603B">
        <w:rPr>
          <w:sz w:val="24"/>
          <w:szCs w:val="24"/>
        </w:rPr>
        <w:t>Wspólna</w:t>
      </w:r>
      <w:proofErr w:type="spellEnd"/>
      <w:r w:rsidRPr="00BE603B">
        <w:rPr>
          <w:sz w:val="24"/>
          <w:szCs w:val="24"/>
        </w:rPr>
        <w:t xml:space="preserve"> 2/4, 00-926 Warsaw; or in a letter addressed to the Intermediary Institution: National Centre for Research and Development, ul. </w:t>
      </w:r>
      <w:proofErr w:type="spellStart"/>
      <w:r w:rsidRPr="00BE603B">
        <w:rPr>
          <w:sz w:val="24"/>
          <w:szCs w:val="24"/>
        </w:rPr>
        <w:t>Chmielna</w:t>
      </w:r>
      <w:proofErr w:type="spellEnd"/>
      <w:r w:rsidRPr="00BE603B">
        <w:rPr>
          <w:sz w:val="24"/>
          <w:szCs w:val="24"/>
        </w:rPr>
        <w:t xml:space="preserve"> 69, 00-801 Warsaw;</w:t>
      </w:r>
    </w:p>
    <w:p w14:paraId="5C649A56" w14:textId="19549131" w:rsidR="00374EAF" w:rsidRPr="00BE603B" w:rsidRDefault="00374EAF" w:rsidP="00351264">
      <w:pPr>
        <w:pStyle w:val="Akapitzlist"/>
        <w:numPr>
          <w:ilvl w:val="0"/>
          <w:numId w:val="18"/>
        </w:numPr>
        <w:spacing w:before="100" w:after="240" w:line="312" w:lineRule="auto"/>
        <w:ind w:left="568" w:hanging="284"/>
        <w:contextualSpacing w:val="0"/>
        <w:rPr>
          <w:rFonts w:cstheme="minorHAnsi"/>
          <w:sz w:val="24"/>
          <w:szCs w:val="24"/>
        </w:rPr>
      </w:pPr>
      <w:r w:rsidRPr="00BE603B">
        <w:rPr>
          <w:sz w:val="24"/>
          <w:szCs w:val="24"/>
        </w:rPr>
        <w:t xml:space="preserve">the </w:t>
      </w:r>
      <w:proofErr w:type="spellStart"/>
      <w:r w:rsidRPr="00BE603B">
        <w:rPr>
          <w:sz w:val="24"/>
          <w:szCs w:val="24"/>
        </w:rPr>
        <w:t>ePUAP</w:t>
      </w:r>
      <w:proofErr w:type="spellEnd"/>
      <w:r w:rsidRPr="00BE603B">
        <w:rPr>
          <w:sz w:val="24"/>
          <w:szCs w:val="24"/>
        </w:rPr>
        <w:t xml:space="preserve"> submission box of the Ministry of Development Funds and Regional Policy of Poland or the National Centre for Research and Development.</w:t>
      </w:r>
    </w:p>
    <w:p w14:paraId="35366E43" w14:textId="3A5CE952" w:rsidR="00A703FF" w:rsidRPr="007B5F8B" w:rsidRDefault="0028555A"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20" w:name="_Toc228786947"/>
      <w:r>
        <w:rPr>
          <w:rFonts w:asciiTheme="minorHAnsi" w:hAnsiTheme="minorHAnsi"/>
          <w:color w:val="auto"/>
          <w:sz w:val="30"/>
        </w:rPr>
        <w:t>§ 7 Removal from the list, withdrawal from participation in the Project</w:t>
      </w:r>
      <w:bookmarkEnd w:id="20"/>
    </w:p>
    <w:p w14:paraId="5DF41D4D" w14:textId="0872FEF8" w:rsidR="00744861" w:rsidRPr="00BE603B" w:rsidRDefault="00DF66AA" w:rsidP="00297FE8">
      <w:pPr>
        <w:pStyle w:val="Akapitzlist"/>
        <w:numPr>
          <w:ilvl w:val="0"/>
          <w:numId w:val="9"/>
        </w:numPr>
        <w:spacing w:after="80" w:line="312" w:lineRule="auto"/>
        <w:ind w:left="284" w:hanging="284"/>
        <w:contextualSpacing w:val="0"/>
        <w:rPr>
          <w:rFonts w:cstheme="minorHAnsi"/>
          <w:sz w:val="24"/>
          <w:szCs w:val="24"/>
        </w:rPr>
      </w:pPr>
      <w:r w:rsidRPr="00BE603B">
        <w:rPr>
          <w:sz w:val="24"/>
          <w:szCs w:val="24"/>
        </w:rPr>
        <w:t>A Project participant may be removed by the Project Staff from the ranking list:</w:t>
      </w:r>
    </w:p>
    <w:p w14:paraId="33392AE1" w14:textId="44B77951" w:rsidR="00744861" w:rsidRPr="00BE603B" w:rsidRDefault="00744861" w:rsidP="00297FE8">
      <w:pPr>
        <w:pStyle w:val="Akapitzlist"/>
        <w:numPr>
          <w:ilvl w:val="3"/>
          <w:numId w:val="3"/>
        </w:numPr>
        <w:spacing w:after="80" w:line="312" w:lineRule="auto"/>
        <w:ind w:left="567" w:hanging="283"/>
        <w:contextualSpacing w:val="0"/>
        <w:rPr>
          <w:rFonts w:cstheme="minorHAnsi"/>
          <w:sz w:val="24"/>
          <w:szCs w:val="24"/>
        </w:rPr>
      </w:pPr>
      <w:r w:rsidRPr="00BE603B">
        <w:rPr>
          <w:sz w:val="24"/>
          <w:szCs w:val="24"/>
        </w:rPr>
        <w:lastRenderedPageBreak/>
        <w:t xml:space="preserve">in the event that a Project participant is at fault for failing to fulfil their obligations, in particular where they do not take part in scheduled </w:t>
      </w:r>
      <w:r w:rsidR="00454F30">
        <w:rPr>
          <w:sz w:val="24"/>
          <w:szCs w:val="24"/>
        </w:rPr>
        <w:t>Forms of support</w:t>
      </w:r>
      <w:r w:rsidRPr="00BE603B">
        <w:rPr>
          <w:sz w:val="24"/>
          <w:szCs w:val="24"/>
        </w:rPr>
        <w:t xml:space="preserve"> for which they have registered;</w:t>
      </w:r>
    </w:p>
    <w:p w14:paraId="284156D3" w14:textId="3496FDE3" w:rsidR="00744861" w:rsidRPr="00BE603B" w:rsidRDefault="00744861" w:rsidP="003D597F">
      <w:pPr>
        <w:pStyle w:val="Akapitzlist"/>
        <w:numPr>
          <w:ilvl w:val="3"/>
          <w:numId w:val="3"/>
        </w:numPr>
        <w:spacing w:after="80" w:line="312" w:lineRule="auto"/>
        <w:ind w:left="568" w:hanging="284"/>
        <w:contextualSpacing w:val="0"/>
        <w:rPr>
          <w:rFonts w:cstheme="minorHAnsi"/>
          <w:sz w:val="24"/>
          <w:szCs w:val="24"/>
        </w:rPr>
      </w:pPr>
      <w:r w:rsidRPr="00BE603B">
        <w:rPr>
          <w:sz w:val="24"/>
          <w:szCs w:val="24"/>
        </w:rPr>
        <w:t>withdrawal by a Project participant from participation in Forms of support for a reason deemed justified by a member of the Project Staff.</w:t>
      </w:r>
    </w:p>
    <w:p w14:paraId="3EECF919" w14:textId="38C159BA" w:rsidR="000D0E21" w:rsidRPr="00BE603B" w:rsidRDefault="00DF66AA" w:rsidP="00297FE8">
      <w:pPr>
        <w:pStyle w:val="Akapitzlist"/>
        <w:numPr>
          <w:ilvl w:val="0"/>
          <w:numId w:val="9"/>
        </w:numPr>
        <w:spacing w:after="80" w:line="312" w:lineRule="auto"/>
        <w:ind w:left="284" w:hanging="284"/>
        <w:contextualSpacing w:val="0"/>
        <w:rPr>
          <w:rFonts w:cstheme="minorHAnsi"/>
          <w:sz w:val="24"/>
          <w:szCs w:val="24"/>
        </w:rPr>
      </w:pPr>
      <w:r w:rsidRPr="00BE603B">
        <w:rPr>
          <w:sz w:val="24"/>
          <w:szCs w:val="24"/>
        </w:rPr>
        <w:t xml:space="preserve">A Project participant may appeal against removal from the Project ranking list to the Steering Committee </w:t>
      </w:r>
      <w:bookmarkStart w:id="21" w:name="_Hlk191884728"/>
      <w:r w:rsidRPr="00BE603B">
        <w:rPr>
          <w:sz w:val="24"/>
          <w:szCs w:val="24"/>
        </w:rPr>
        <w:t xml:space="preserve">within 3 working days from the date of receipt of the information on removal. The appeal shall be submitted via the Project Staff to the dedicated email address: </w:t>
      </w:r>
      <w:hyperlink r:id="rId22" w:history="1">
        <w:r w:rsidRPr="00BE603B">
          <w:rPr>
            <w:rStyle w:val="Hipercze"/>
            <w:color w:val="0070C0"/>
            <w:sz w:val="24"/>
            <w:szCs w:val="24"/>
          </w:rPr>
          <w:t>projektyeuropejskie@vizja.pl</w:t>
        </w:r>
      </w:hyperlink>
      <w:r w:rsidRPr="00BE603B">
        <w:rPr>
          <w:sz w:val="24"/>
          <w:szCs w:val="24"/>
        </w:rPr>
        <w:t>. The Project Staff shall promptly forward the appeal to the Steering Committee for consideration. The Project Staff may consider the submitted appeal justified and, in such a case, without forwarding the appeal to the Steering Committee, change the decision on removal and reinstate the Project participant on the ranking list. Decisions of the Steering Committee regarding appeals are final and are not subject to the provisions of the Code of Administrative Procedure.</w:t>
      </w:r>
      <w:bookmarkEnd w:id="21"/>
    </w:p>
    <w:p w14:paraId="20D2988F" w14:textId="666579A0" w:rsidR="00481162" w:rsidRPr="007B5F8B" w:rsidRDefault="00481162" w:rsidP="00481162">
      <w:pPr>
        <w:pStyle w:val="Akapitzlist"/>
        <w:numPr>
          <w:ilvl w:val="0"/>
          <w:numId w:val="9"/>
        </w:numPr>
        <w:spacing w:after="240" w:line="312" w:lineRule="auto"/>
        <w:ind w:left="284" w:hanging="284"/>
        <w:contextualSpacing w:val="0"/>
        <w:rPr>
          <w:rFonts w:cstheme="minorHAnsi"/>
          <w:sz w:val="24"/>
          <w:szCs w:val="24"/>
        </w:rPr>
      </w:pPr>
      <w:r w:rsidRPr="00BE603B">
        <w:rPr>
          <w:sz w:val="24"/>
          <w:szCs w:val="24"/>
        </w:rPr>
        <w:t xml:space="preserve">Withdrawal from participation in the Project during its implementation may take place by submitting a written statement containing justification for the reason for withdrawal. The statement may be submitted by delivering it to the Project Office or by sending it electronically to the address: </w:t>
      </w:r>
      <w:hyperlink r:id="rId23" w:history="1">
        <w:r w:rsidRPr="00BE603B">
          <w:rPr>
            <w:rStyle w:val="Hipercze"/>
            <w:color w:val="0070C0"/>
            <w:sz w:val="24"/>
            <w:szCs w:val="24"/>
          </w:rPr>
          <w:t>projektyeuropejskie@vizja.pl</w:t>
        </w:r>
      </w:hyperlink>
      <w:r w:rsidRPr="00BE603B">
        <w:rPr>
          <w:sz w:val="24"/>
          <w:szCs w:val="24"/>
        </w:rPr>
        <w:t>.</w:t>
      </w:r>
    </w:p>
    <w:p w14:paraId="6256CF88" w14:textId="4C642F77" w:rsidR="00397947" w:rsidRPr="007B5F8B" w:rsidRDefault="00397947" w:rsidP="00ED258C">
      <w:pPr>
        <w:pStyle w:val="Nagwek1"/>
        <w:tabs>
          <w:tab w:val="left" w:pos="567"/>
        </w:tabs>
        <w:spacing w:before="480" w:after="80" w:line="360" w:lineRule="auto"/>
        <w:ind w:left="284" w:hanging="284"/>
        <w:rPr>
          <w:rFonts w:asciiTheme="minorHAnsi" w:hAnsiTheme="minorHAnsi" w:cstheme="minorHAnsi"/>
          <w:color w:val="auto"/>
          <w:kern w:val="2"/>
          <w:sz w:val="30"/>
          <w:szCs w:val="30"/>
          <w14:ligatures w14:val="standardContextual"/>
        </w:rPr>
      </w:pPr>
      <w:bookmarkStart w:id="22" w:name="_Toc228786948"/>
      <w:r>
        <w:rPr>
          <w:rFonts w:asciiTheme="minorHAnsi" w:hAnsiTheme="minorHAnsi"/>
          <w:color w:val="auto"/>
          <w:sz w:val="30"/>
        </w:rPr>
        <w:t>§</w:t>
      </w:r>
      <w:r w:rsidR="00BE603B">
        <w:rPr>
          <w:rFonts w:asciiTheme="minorHAnsi" w:hAnsiTheme="minorHAnsi"/>
          <w:color w:val="auto"/>
          <w:sz w:val="30"/>
        </w:rPr>
        <w:t xml:space="preserve"> </w:t>
      </w:r>
      <w:r>
        <w:rPr>
          <w:rFonts w:asciiTheme="minorHAnsi" w:hAnsiTheme="minorHAnsi"/>
          <w:color w:val="auto"/>
          <w:sz w:val="30"/>
        </w:rPr>
        <w:t>8 Final provisions</w:t>
      </w:r>
      <w:bookmarkEnd w:id="22"/>
    </w:p>
    <w:p w14:paraId="0F0A80BB" w14:textId="1CCB5CB0" w:rsidR="00A855F3" w:rsidRPr="00BE603B" w:rsidRDefault="009D194E" w:rsidP="00A855F3">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t>Recruitment documentation and documentation related to participation in Forms of support are processed and stored in compliance with personal data protection regulations, including the Act of 10 May 2018 on the Protection of Personal Data (consolidated text, Journal of Laws of 2019, item 1781) and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 No. 119, p. 1, as amended).</w:t>
      </w:r>
    </w:p>
    <w:p w14:paraId="612F75F4" w14:textId="2C7E236C" w:rsidR="009D194E" w:rsidRPr="00BE603B" w:rsidRDefault="009D194E" w:rsidP="009D194E">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t>Information on the processing of personal data within the Project is included in the information clauses provided in the recruitment form.</w:t>
      </w:r>
    </w:p>
    <w:p w14:paraId="2C392689" w14:textId="0D806BBD" w:rsidR="00D37819" w:rsidRPr="00BE603B" w:rsidRDefault="008F7073" w:rsidP="00297FE8">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t>These Regulations shall enter into force on the date of entry into force of the Ordinance of the Vice-Rector for Education of VIZJA University.</w:t>
      </w:r>
    </w:p>
    <w:p w14:paraId="6C1F2A50" w14:textId="4669ED76" w:rsidR="008F7073" w:rsidRPr="00BE603B" w:rsidRDefault="008F7073" w:rsidP="00297FE8">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t>The Regulations may be amended at any time, with such amendments becoming effective as of the date of entry into force of the Ordinance of the Vice-Rector for Education. Any amendments to the Regulations require written form.</w:t>
      </w:r>
    </w:p>
    <w:p w14:paraId="2364B2DF" w14:textId="2ACAE21B" w:rsidR="00397947" w:rsidRPr="00BE603B" w:rsidRDefault="008F7073" w:rsidP="00297FE8">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lastRenderedPageBreak/>
        <w:t xml:space="preserve">The Regulations are available in digital form on the </w:t>
      </w:r>
      <w:hyperlink r:id="rId24" w:history="1">
        <w:r w:rsidRPr="00BE603B">
          <w:rPr>
            <w:rStyle w:val="Hipercze"/>
            <w:sz w:val="24"/>
            <w:szCs w:val="24"/>
          </w:rPr>
          <w:t>Project website</w:t>
        </w:r>
      </w:hyperlink>
      <w:r w:rsidRPr="00BE603B">
        <w:rPr>
          <w:sz w:val="24"/>
          <w:szCs w:val="24"/>
        </w:rPr>
        <w:t xml:space="preserve"> and in printed form at the Project Office.</w:t>
      </w:r>
    </w:p>
    <w:p w14:paraId="608122C8" w14:textId="0CF91BA8" w:rsidR="009C2BBF" w:rsidRPr="00BE603B" w:rsidRDefault="00447D8C" w:rsidP="00297FE8">
      <w:pPr>
        <w:pStyle w:val="Akapitzlist"/>
        <w:numPr>
          <w:ilvl w:val="0"/>
          <w:numId w:val="10"/>
        </w:numPr>
        <w:spacing w:after="80" w:line="312" w:lineRule="auto"/>
        <w:ind w:left="284" w:hanging="284"/>
        <w:contextualSpacing w:val="0"/>
        <w:rPr>
          <w:rFonts w:cstheme="minorHAnsi"/>
          <w:sz w:val="24"/>
          <w:szCs w:val="24"/>
        </w:rPr>
      </w:pPr>
      <w:r w:rsidRPr="00BE603B">
        <w:rPr>
          <w:sz w:val="24"/>
          <w:szCs w:val="24"/>
        </w:rPr>
        <w:t>Matters not regulated in these Regulations shall be resolved by the Project Manager and determined by the binding rules specified by the National Centre for Research and Development for the implementation of the Project. The Steering Committee acts as the appellate body with respect to decisions of the Project Manager. Decisions of the Steering Committee are final.</w:t>
      </w:r>
    </w:p>
    <w:p w14:paraId="09CA69DA" w14:textId="77777777" w:rsidR="00717916" w:rsidRPr="007B5F8B" w:rsidRDefault="009C2BBF" w:rsidP="00297FE8">
      <w:pPr>
        <w:pStyle w:val="Akapitzlist"/>
        <w:numPr>
          <w:ilvl w:val="0"/>
          <w:numId w:val="10"/>
        </w:numPr>
        <w:spacing w:after="80" w:line="312" w:lineRule="auto"/>
        <w:ind w:left="284" w:hanging="284"/>
        <w:contextualSpacing w:val="0"/>
        <w:rPr>
          <w:rFonts w:cstheme="minorHAnsi"/>
          <w:sz w:val="24"/>
          <w:szCs w:val="24"/>
        </w:rPr>
      </w:pPr>
      <w:r>
        <w:rPr>
          <w:sz w:val="24"/>
        </w:rPr>
        <w:t>List of annexes:</w:t>
      </w:r>
    </w:p>
    <w:p w14:paraId="2F5CAEA5" w14:textId="36F78364" w:rsidR="00DF66AA" w:rsidRPr="007B5F8B" w:rsidRDefault="00484DE8" w:rsidP="00351264">
      <w:pPr>
        <w:pStyle w:val="Akapitzlist"/>
        <w:numPr>
          <w:ilvl w:val="0"/>
          <w:numId w:val="22"/>
        </w:numPr>
        <w:spacing w:after="80" w:line="312" w:lineRule="auto"/>
        <w:ind w:left="567"/>
        <w:contextualSpacing w:val="0"/>
        <w:jc w:val="both"/>
        <w:rPr>
          <w:rFonts w:cstheme="minorHAnsi"/>
          <w:sz w:val="24"/>
          <w:szCs w:val="24"/>
        </w:rPr>
      </w:pPr>
      <w:r>
        <w:rPr>
          <w:sz w:val="24"/>
        </w:rPr>
        <w:t>Annex No. 1 – Recruitment Form</w:t>
      </w:r>
    </w:p>
    <w:sectPr w:rsidR="00DF66AA" w:rsidRPr="007B5F8B" w:rsidSect="00C252A6">
      <w:headerReference w:type="default" r:id="rId25"/>
      <w:footerReference w:type="default" r:id="rId26"/>
      <w:pgSz w:w="11906" w:h="16838"/>
      <w:pgMar w:top="426" w:right="1417" w:bottom="127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85B0" w14:textId="77777777" w:rsidR="00217701" w:rsidRDefault="00217701" w:rsidP="00057D68">
      <w:pPr>
        <w:spacing w:after="0" w:line="240" w:lineRule="auto"/>
      </w:pPr>
      <w:r>
        <w:separator/>
      </w:r>
    </w:p>
  </w:endnote>
  <w:endnote w:type="continuationSeparator" w:id="0">
    <w:p w14:paraId="5A4A4EDF" w14:textId="77777777" w:rsidR="00217701" w:rsidRDefault="00217701" w:rsidP="0005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2866207"/>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14:paraId="1A2A9CCD" w14:textId="2FDDDA10" w:rsidR="00483C72" w:rsidRPr="00B73BCF" w:rsidRDefault="00483C72">
            <w:pPr>
              <w:pStyle w:val="Stopka"/>
              <w:jc w:val="right"/>
              <w:rPr>
                <w:sz w:val="24"/>
                <w:szCs w:val="24"/>
              </w:rPr>
            </w:pPr>
            <w:r>
              <w:rPr>
                <w:sz w:val="24"/>
              </w:rPr>
              <w:t xml:space="preserve">Page </w:t>
            </w:r>
            <w:r w:rsidRPr="00B73BCF">
              <w:rPr>
                <w:sz w:val="24"/>
              </w:rPr>
              <w:fldChar w:fldCharType="begin"/>
            </w:r>
            <w:r w:rsidRPr="00B73BCF">
              <w:rPr>
                <w:sz w:val="24"/>
              </w:rPr>
              <w:instrText>PAGE</w:instrText>
            </w:r>
            <w:r w:rsidRPr="00B73BCF">
              <w:rPr>
                <w:sz w:val="24"/>
              </w:rPr>
              <w:fldChar w:fldCharType="separate"/>
            </w:r>
            <w:r w:rsidR="00A90A35">
              <w:rPr>
                <w:sz w:val="24"/>
              </w:rPr>
              <w:t>14</w:t>
            </w:r>
            <w:r w:rsidRPr="00B73BCF">
              <w:rPr>
                <w:sz w:val="24"/>
              </w:rPr>
              <w:fldChar w:fldCharType="end"/>
            </w:r>
            <w:r>
              <w:rPr>
                <w:sz w:val="24"/>
              </w:rPr>
              <w:t xml:space="preserve"> of </w:t>
            </w:r>
            <w:r w:rsidRPr="00B73BCF">
              <w:rPr>
                <w:sz w:val="24"/>
              </w:rPr>
              <w:fldChar w:fldCharType="begin"/>
            </w:r>
            <w:r w:rsidRPr="00B73BCF">
              <w:rPr>
                <w:sz w:val="24"/>
              </w:rPr>
              <w:instrText>NUMPAGES</w:instrText>
            </w:r>
            <w:r w:rsidRPr="00B73BCF">
              <w:rPr>
                <w:sz w:val="24"/>
              </w:rPr>
              <w:fldChar w:fldCharType="separate"/>
            </w:r>
            <w:r w:rsidR="00A90A35">
              <w:rPr>
                <w:sz w:val="24"/>
              </w:rPr>
              <w:t>18</w:t>
            </w:r>
            <w:r w:rsidRPr="00B73BC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08D1" w14:textId="77777777" w:rsidR="00217701" w:rsidRDefault="00217701" w:rsidP="00057D68">
      <w:pPr>
        <w:spacing w:after="0" w:line="240" w:lineRule="auto"/>
      </w:pPr>
      <w:r>
        <w:separator/>
      </w:r>
    </w:p>
  </w:footnote>
  <w:footnote w:type="continuationSeparator" w:id="0">
    <w:p w14:paraId="2DC067A7" w14:textId="77777777" w:rsidR="00217701" w:rsidRDefault="00217701" w:rsidP="0005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EBAC" w14:textId="0EFA5B10" w:rsidR="00B73BCF" w:rsidRDefault="00B73BCF">
    <w:pPr>
      <w:pStyle w:val="Nagwek"/>
    </w:pPr>
  </w:p>
  <w:p w14:paraId="31D2CDF4" w14:textId="77777777" w:rsidR="00B73BCF" w:rsidRDefault="00B73B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8A6"/>
    <w:multiLevelType w:val="hybridMultilevel"/>
    <w:tmpl w:val="4A0C1304"/>
    <w:lvl w:ilvl="0" w:tplc="C4BE4026">
      <w:start w:val="1"/>
      <w:numFmt w:val="decimal"/>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74A42"/>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06A76"/>
    <w:multiLevelType w:val="hybridMultilevel"/>
    <w:tmpl w:val="F12A7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21E09"/>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4A2"/>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85CC5"/>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CE4CFB"/>
    <w:multiLevelType w:val="hybridMultilevel"/>
    <w:tmpl w:val="DB003E66"/>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C3299"/>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977FE9"/>
    <w:multiLevelType w:val="hybridMultilevel"/>
    <w:tmpl w:val="7C86B0FA"/>
    <w:lvl w:ilvl="0" w:tplc="5530894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537066"/>
    <w:multiLevelType w:val="hybridMultilevel"/>
    <w:tmpl w:val="D4E4CD88"/>
    <w:lvl w:ilvl="0" w:tplc="04150017">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D56C8"/>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8D09F4"/>
    <w:multiLevelType w:val="hybridMultilevel"/>
    <w:tmpl w:val="0BF04C12"/>
    <w:lvl w:ilvl="0" w:tplc="56FA34E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31908"/>
    <w:multiLevelType w:val="hybridMultilevel"/>
    <w:tmpl w:val="09C8A594"/>
    <w:lvl w:ilvl="0" w:tplc="9BF0ECD2">
      <w:start w:val="1"/>
      <w:numFmt w:val="decimal"/>
      <w:lvlText w:val="%1."/>
      <w:lvlJc w:val="left"/>
      <w:pPr>
        <w:ind w:left="720" w:hanging="360"/>
      </w:pPr>
      <w:rPr>
        <w:rFonts w:hint="default"/>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224C2"/>
    <w:multiLevelType w:val="hybridMultilevel"/>
    <w:tmpl w:val="947A8C02"/>
    <w:lvl w:ilvl="0" w:tplc="94448B86">
      <w:start w:val="1"/>
      <w:numFmt w:val="decimal"/>
      <w:lvlText w:val="%1."/>
      <w:lvlJc w:val="left"/>
      <w:pPr>
        <w:ind w:left="8866"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0E0F3F"/>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B47BCA"/>
    <w:multiLevelType w:val="hybridMultilevel"/>
    <w:tmpl w:val="FBAA3234"/>
    <w:lvl w:ilvl="0" w:tplc="482AC914">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5F26DF"/>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526FD9"/>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FD50AD"/>
    <w:multiLevelType w:val="hybridMultilevel"/>
    <w:tmpl w:val="839EEB7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60403AA5"/>
    <w:multiLevelType w:val="multilevel"/>
    <w:tmpl w:val="20908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177697D"/>
    <w:multiLevelType w:val="hybridMultilevel"/>
    <w:tmpl w:val="AD6A6D46"/>
    <w:lvl w:ilvl="0" w:tplc="6EA88480">
      <w:start w:val="1"/>
      <w:numFmt w:val="lowerLetter"/>
      <w:lvlText w:val="%1)"/>
      <w:lvlJc w:val="left"/>
      <w:pPr>
        <w:ind w:left="720" w:hanging="360"/>
      </w:pPr>
      <w:rPr>
        <w:rFonts w:ascii="Calibri" w:hAnsi="Calibri" w:cs="Calibri"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26AB6"/>
    <w:multiLevelType w:val="hybridMultilevel"/>
    <w:tmpl w:val="3F0E7E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DB5FC6"/>
    <w:multiLevelType w:val="hybridMultilevel"/>
    <w:tmpl w:val="3F0E7E6C"/>
    <w:lvl w:ilvl="0" w:tplc="2ACC398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29402F"/>
    <w:multiLevelType w:val="hybridMultilevel"/>
    <w:tmpl w:val="A48ADB90"/>
    <w:lvl w:ilvl="0" w:tplc="FFFFFFFF">
      <w:start w:val="1"/>
      <w:numFmt w:val="lowerLetter"/>
      <w:lvlText w:val="%1)"/>
      <w:lvlJc w:val="left"/>
      <w:pPr>
        <w:ind w:left="644"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F4697"/>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985A45"/>
    <w:multiLevelType w:val="hybridMultilevel"/>
    <w:tmpl w:val="B5262B9C"/>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6FA34E4">
      <w:start w:val="1"/>
      <w:numFmt w:val="lowerLetter"/>
      <w:lvlText w:val="%4)"/>
      <w:lvlJc w:val="left"/>
      <w:pPr>
        <w:ind w:left="78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8399143">
    <w:abstractNumId w:val="14"/>
  </w:num>
  <w:num w:numId="2" w16cid:durableId="2057241497">
    <w:abstractNumId w:val="21"/>
  </w:num>
  <w:num w:numId="3" w16cid:durableId="58982725">
    <w:abstractNumId w:val="26"/>
  </w:num>
  <w:num w:numId="4" w16cid:durableId="585916368">
    <w:abstractNumId w:val="15"/>
  </w:num>
  <w:num w:numId="5" w16cid:durableId="610209720">
    <w:abstractNumId w:val="3"/>
  </w:num>
  <w:num w:numId="6" w16cid:durableId="120195367">
    <w:abstractNumId w:val="0"/>
  </w:num>
  <w:num w:numId="7" w16cid:durableId="898981656">
    <w:abstractNumId w:val="13"/>
  </w:num>
  <w:num w:numId="8" w16cid:durableId="1478257398">
    <w:abstractNumId w:val="11"/>
  </w:num>
  <w:num w:numId="9" w16cid:durableId="1897739684">
    <w:abstractNumId w:val="25"/>
  </w:num>
  <w:num w:numId="10" w16cid:durableId="510267134">
    <w:abstractNumId w:val="8"/>
  </w:num>
  <w:num w:numId="11" w16cid:durableId="1634166963">
    <w:abstractNumId w:val="10"/>
  </w:num>
  <w:num w:numId="12" w16cid:durableId="323701495">
    <w:abstractNumId w:val="18"/>
  </w:num>
  <w:num w:numId="13" w16cid:durableId="1187673377">
    <w:abstractNumId w:val="17"/>
  </w:num>
  <w:num w:numId="14" w16cid:durableId="173959647">
    <w:abstractNumId w:val="4"/>
  </w:num>
  <w:num w:numId="15" w16cid:durableId="683751979">
    <w:abstractNumId w:val="5"/>
  </w:num>
  <w:num w:numId="16" w16cid:durableId="655111006">
    <w:abstractNumId w:val="7"/>
  </w:num>
  <w:num w:numId="17" w16cid:durableId="602802363">
    <w:abstractNumId w:val="6"/>
  </w:num>
  <w:num w:numId="18" w16cid:durableId="399324631">
    <w:abstractNumId w:val="16"/>
  </w:num>
  <w:num w:numId="19" w16cid:durableId="1895197981">
    <w:abstractNumId w:val="1"/>
  </w:num>
  <w:num w:numId="20" w16cid:durableId="1129787893">
    <w:abstractNumId w:val="23"/>
  </w:num>
  <w:num w:numId="21" w16cid:durableId="556356701">
    <w:abstractNumId w:val="2"/>
  </w:num>
  <w:num w:numId="22" w16cid:durableId="553734140">
    <w:abstractNumId w:val="12"/>
  </w:num>
  <w:num w:numId="23" w16cid:durableId="1757632877">
    <w:abstractNumId w:val="19"/>
  </w:num>
  <w:num w:numId="24" w16cid:durableId="1776361093">
    <w:abstractNumId w:val="24"/>
  </w:num>
  <w:num w:numId="25" w16cid:durableId="1388643449">
    <w:abstractNumId w:val="22"/>
  </w:num>
  <w:num w:numId="26" w16cid:durableId="2056852690">
    <w:abstractNumId w:val="9"/>
  </w:num>
  <w:num w:numId="27" w16cid:durableId="814221358">
    <w:abstractNumId w:val="20"/>
  </w:num>
  <w:num w:numId="28" w16cid:durableId="1657563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520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0884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7427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9158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029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2D"/>
    <w:rsid w:val="0000217B"/>
    <w:rsid w:val="00002D79"/>
    <w:rsid w:val="00004EC6"/>
    <w:rsid w:val="0000528B"/>
    <w:rsid w:val="00005759"/>
    <w:rsid w:val="000126E1"/>
    <w:rsid w:val="0001373E"/>
    <w:rsid w:val="00015A3B"/>
    <w:rsid w:val="00017055"/>
    <w:rsid w:val="00020E04"/>
    <w:rsid w:val="000215C5"/>
    <w:rsid w:val="00021A56"/>
    <w:rsid w:val="0002505E"/>
    <w:rsid w:val="0003063E"/>
    <w:rsid w:val="000312D2"/>
    <w:rsid w:val="00032A18"/>
    <w:rsid w:val="00032C2D"/>
    <w:rsid w:val="00034DAC"/>
    <w:rsid w:val="0003509C"/>
    <w:rsid w:val="00040FD3"/>
    <w:rsid w:val="0004290D"/>
    <w:rsid w:val="00043A0B"/>
    <w:rsid w:val="00043F0B"/>
    <w:rsid w:val="00050829"/>
    <w:rsid w:val="0005488B"/>
    <w:rsid w:val="00056E94"/>
    <w:rsid w:val="00057D68"/>
    <w:rsid w:val="00060A4E"/>
    <w:rsid w:val="000635CA"/>
    <w:rsid w:val="00066D8A"/>
    <w:rsid w:val="00067077"/>
    <w:rsid w:val="00067974"/>
    <w:rsid w:val="00070950"/>
    <w:rsid w:val="000715FC"/>
    <w:rsid w:val="0007372B"/>
    <w:rsid w:val="000747DA"/>
    <w:rsid w:val="0008073E"/>
    <w:rsid w:val="00082E93"/>
    <w:rsid w:val="0008504C"/>
    <w:rsid w:val="00086643"/>
    <w:rsid w:val="00087B64"/>
    <w:rsid w:val="00090729"/>
    <w:rsid w:val="0009090E"/>
    <w:rsid w:val="0009108B"/>
    <w:rsid w:val="00096ACE"/>
    <w:rsid w:val="000A3321"/>
    <w:rsid w:val="000A3E69"/>
    <w:rsid w:val="000A5F17"/>
    <w:rsid w:val="000A6764"/>
    <w:rsid w:val="000B2742"/>
    <w:rsid w:val="000B39E2"/>
    <w:rsid w:val="000B77D7"/>
    <w:rsid w:val="000C0B88"/>
    <w:rsid w:val="000C208A"/>
    <w:rsid w:val="000C4788"/>
    <w:rsid w:val="000D040C"/>
    <w:rsid w:val="000D0E21"/>
    <w:rsid w:val="000D5CFE"/>
    <w:rsid w:val="000D78D5"/>
    <w:rsid w:val="000E0502"/>
    <w:rsid w:val="000E1F7E"/>
    <w:rsid w:val="000E35E4"/>
    <w:rsid w:val="000E77CC"/>
    <w:rsid w:val="000F27E0"/>
    <w:rsid w:val="000F3D9E"/>
    <w:rsid w:val="000F434D"/>
    <w:rsid w:val="000F4BF1"/>
    <w:rsid w:val="00100554"/>
    <w:rsid w:val="001039C3"/>
    <w:rsid w:val="00104E6D"/>
    <w:rsid w:val="0010693C"/>
    <w:rsid w:val="00112C43"/>
    <w:rsid w:val="00113A69"/>
    <w:rsid w:val="001140F7"/>
    <w:rsid w:val="001144B8"/>
    <w:rsid w:val="001151F7"/>
    <w:rsid w:val="00115B4E"/>
    <w:rsid w:val="0011614B"/>
    <w:rsid w:val="00121BA8"/>
    <w:rsid w:val="00124155"/>
    <w:rsid w:val="00124ECB"/>
    <w:rsid w:val="00125D7E"/>
    <w:rsid w:val="00131523"/>
    <w:rsid w:val="00133285"/>
    <w:rsid w:val="0013672C"/>
    <w:rsid w:val="001369D0"/>
    <w:rsid w:val="0014244A"/>
    <w:rsid w:val="00144331"/>
    <w:rsid w:val="00145D1D"/>
    <w:rsid w:val="00146B68"/>
    <w:rsid w:val="00150BB4"/>
    <w:rsid w:val="0015168D"/>
    <w:rsid w:val="00152D4B"/>
    <w:rsid w:val="00154654"/>
    <w:rsid w:val="0015477D"/>
    <w:rsid w:val="00154A27"/>
    <w:rsid w:val="00155CBC"/>
    <w:rsid w:val="00160351"/>
    <w:rsid w:val="00162999"/>
    <w:rsid w:val="0017087F"/>
    <w:rsid w:val="0017130E"/>
    <w:rsid w:val="00174F82"/>
    <w:rsid w:val="001759F6"/>
    <w:rsid w:val="00185718"/>
    <w:rsid w:val="0019025C"/>
    <w:rsid w:val="00190AF6"/>
    <w:rsid w:val="001916D2"/>
    <w:rsid w:val="0019559D"/>
    <w:rsid w:val="001962B6"/>
    <w:rsid w:val="00196A1A"/>
    <w:rsid w:val="001A1432"/>
    <w:rsid w:val="001A2FFF"/>
    <w:rsid w:val="001A31C0"/>
    <w:rsid w:val="001A3C5A"/>
    <w:rsid w:val="001A5DF6"/>
    <w:rsid w:val="001A6034"/>
    <w:rsid w:val="001A67EC"/>
    <w:rsid w:val="001A6A3D"/>
    <w:rsid w:val="001A6AF1"/>
    <w:rsid w:val="001A75A3"/>
    <w:rsid w:val="001B348A"/>
    <w:rsid w:val="001B6DB3"/>
    <w:rsid w:val="001C0075"/>
    <w:rsid w:val="001C4835"/>
    <w:rsid w:val="001C4F34"/>
    <w:rsid w:val="001C56DA"/>
    <w:rsid w:val="001D0271"/>
    <w:rsid w:val="001D04AD"/>
    <w:rsid w:val="001D131B"/>
    <w:rsid w:val="001D1A24"/>
    <w:rsid w:val="001D3DD8"/>
    <w:rsid w:val="001D7B72"/>
    <w:rsid w:val="001D7F2E"/>
    <w:rsid w:val="001E4A45"/>
    <w:rsid w:val="001E4D80"/>
    <w:rsid w:val="001E6AB5"/>
    <w:rsid w:val="001E734B"/>
    <w:rsid w:val="001F2A61"/>
    <w:rsid w:val="001F313E"/>
    <w:rsid w:val="0020313E"/>
    <w:rsid w:val="0020448C"/>
    <w:rsid w:val="00204B67"/>
    <w:rsid w:val="00211452"/>
    <w:rsid w:val="0021358A"/>
    <w:rsid w:val="00213E18"/>
    <w:rsid w:val="0021701E"/>
    <w:rsid w:val="00217701"/>
    <w:rsid w:val="002215A1"/>
    <w:rsid w:val="00221DEA"/>
    <w:rsid w:val="002266FD"/>
    <w:rsid w:val="00227075"/>
    <w:rsid w:val="0022752E"/>
    <w:rsid w:val="00227E62"/>
    <w:rsid w:val="002311DF"/>
    <w:rsid w:val="00231815"/>
    <w:rsid w:val="00234807"/>
    <w:rsid w:val="00240614"/>
    <w:rsid w:val="002422C1"/>
    <w:rsid w:val="00242C5C"/>
    <w:rsid w:val="002433D2"/>
    <w:rsid w:val="0025065C"/>
    <w:rsid w:val="00250D26"/>
    <w:rsid w:val="00251684"/>
    <w:rsid w:val="00251746"/>
    <w:rsid w:val="0025360E"/>
    <w:rsid w:val="0025601E"/>
    <w:rsid w:val="00261184"/>
    <w:rsid w:val="002664E2"/>
    <w:rsid w:val="00267A2A"/>
    <w:rsid w:val="00267DA6"/>
    <w:rsid w:val="00267E33"/>
    <w:rsid w:val="00271A23"/>
    <w:rsid w:val="0028126B"/>
    <w:rsid w:val="00281781"/>
    <w:rsid w:val="0028555A"/>
    <w:rsid w:val="0028658E"/>
    <w:rsid w:val="002879AD"/>
    <w:rsid w:val="0029176B"/>
    <w:rsid w:val="00292002"/>
    <w:rsid w:val="0029571E"/>
    <w:rsid w:val="00296EF5"/>
    <w:rsid w:val="00297FE8"/>
    <w:rsid w:val="002A091D"/>
    <w:rsid w:val="002A2C8F"/>
    <w:rsid w:val="002A373B"/>
    <w:rsid w:val="002A3AC3"/>
    <w:rsid w:val="002A686C"/>
    <w:rsid w:val="002B1395"/>
    <w:rsid w:val="002B4B80"/>
    <w:rsid w:val="002B6F09"/>
    <w:rsid w:val="002B7B72"/>
    <w:rsid w:val="002C3D82"/>
    <w:rsid w:val="002C453D"/>
    <w:rsid w:val="002C5D1F"/>
    <w:rsid w:val="002C659D"/>
    <w:rsid w:val="002C7731"/>
    <w:rsid w:val="002D06ED"/>
    <w:rsid w:val="002D49D2"/>
    <w:rsid w:val="002D7C36"/>
    <w:rsid w:val="002E15BE"/>
    <w:rsid w:val="002E4DF3"/>
    <w:rsid w:val="002F3D99"/>
    <w:rsid w:val="002F6162"/>
    <w:rsid w:val="00301D3E"/>
    <w:rsid w:val="00302235"/>
    <w:rsid w:val="00311022"/>
    <w:rsid w:val="0031163E"/>
    <w:rsid w:val="003122E8"/>
    <w:rsid w:val="00312C7F"/>
    <w:rsid w:val="0031302A"/>
    <w:rsid w:val="00313C13"/>
    <w:rsid w:val="00320887"/>
    <w:rsid w:val="003246D1"/>
    <w:rsid w:val="003271BC"/>
    <w:rsid w:val="00327B24"/>
    <w:rsid w:val="00330030"/>
    <w:rsid w:val="00330113"/>
    <w:rsid w:val="00330D20"/>
    <w:rsid w:val="0033106D"/>
    <w:rsid w:val="0033660B"/>
    <w:rsid w:val="003376B4"/>
    <w:rsid w:val="0033781E"/>
    <w:rsid w:val="00337DC4"/>
    <w:rsid w:val="00342ECD"/>
    <w:rsid w:val="003458B7"/>
    <w:rsid w:val="00347ADE"/>
    <w:rsid w:val="0035095E"/>
    <w:rsid w:val="00350D2C"/>
    <w:rsid w:val="00351264"/>
    <w:rsid w:val="00351289"/>
    <w:rsid w:val="003548A6"/>
    <w:rsid w:val="00355160"/>
    <w:rsid w:val="00356E83"/>
    <w:rsid w:val="003600C1"/>
    <w:rsid w:val="00361025"/>
    <w:rsid w:val="003629AE"/>
    <w:rsid w:val="003642DE"/>
    <w:rsid w:val="00366F5A"/>
    <w:rsid w:val="003671C9"/>
    <w:rsid w:val="00374EAF"/>
    <w:rsid w:val="00375434"/>
    <w:rsid w:val="00376082"/>
    <w:rsid w:val="003770E7"/>
    <w:rsid w:val="0038248E"/>
    <w:rsid w:val="00386060"/>
    <w:rsid w:val="00386B5F"/>
    <w:rsid w:val="00397947"/>
    <w:rsid w:val="003A0533"/>
    <w:rsid w:val="003A44C6"/>
    <w:rsid w:val="003A7035"/>
    <w:rsid w:val="003B25D3"/>
    <w:rsid w:val="003B3AFD"/>
    <w:rsid w:val="003B3FCA"/>
    <w:rsid w:val="003B740A"/>
    <w:rsid w:val="003C012E"/>
    <w:rsid w:val="003C1767"/>
    <w:rsid w:val="003C2DAB"/>
    <w:rsid w:val="003C53B9"/>
    <w:rsid w:val="003C7C13"/>
    <w:rsid w:val="003D41E8"/>
    <w:rsid w:val="003D597F"/>
    <w:rsid w:val="003D5E34"/>
    <w:rsid w:val="003E0DCB"/>
    <w:rsid w:val="003E0EEC"/>
    <w:rsid w:val="003E3001"/>
    <w:rsid w:val="003E552F"/>
    <w:rsid w:val="003E5753"/>
    <w:rsid w:val="003E5CFC"/>
    <w:rsid w:val="003E6EC8"/>
    <w:rsid w:val="003E7004"/>
    <w:rsid w:val="003E7510"/>
    <w:rsid w:val="003F14A7"/>
    <w:rsid w:val="003F1709"/>
    <w:rsid w:val="003F38DD"/>
    <w:rsid w:val="003F6A60"/>
    <w:rsid w:val="00402C19"/>
    <w:rsid w:val="004042E0"/>
    <w:rsid w:val="00404F4D"/>
    <w:rsid w:val="0040663C"/>
    <w:rsid w:val="004069DA"/>
    <w:rsid w:val="00407161"/>
    <w:rsid w:val="00410146"/>
    <w:rsid w:val="004107B6"/>
    <w:rsid w:val="00412871"/>
    <w:rsid w:val="00415E34"/>
    <w:rsid w:val="00416807"/>
    <w:rsid w:val="00417D31"/>
    <w:rsid w:val="00422345"/>
    <w:rsid w:val="00424C86"/>
    <w:rsid w:val="0043161C"/>
    <w:rsid w:val="00431823"/>
    <w:rsid w:val="00432262"/>
    <w:rsid w:val="00432686"/>
    <w:rsid w:val="00432A73"/>
    <w:rsid w:val="004360A9"/>
    <w:rsid w:val="00436955"/>
    <w:rsid w:val="004369DC"/>
    <w:rsid w:val="00440289"/>
    <w:rsid w:val="00440D13"/>
    <w:rsid w:val="00441851"/>
    <w:rsid w:val="00441DF0"/>
    <w:rsid w:val="00442B38"/>
    <w:rsid w:val="00444B4F"/>
    <w:rsid w:val="00445251"/>
    <w:rsid w:val="00446093"/>
    <w:rsid w:val="004463E7"/>
    <w:rsid w:val="00446C45"/>
    <w:rsid w:val="0044758D"/>
    <w:rsid w:val="00447D8C"/>
    <w:rsid w:val="004511AA"/>
    <w:rsid w:val="004516DE"/>
    <w:rsid w:val="00451B23"/>
    <w:rsid w:val="00452CD7"/>
    <w:rsid w:val="00454F30"/>
    <w:rsid w:val="004610C8"/>
    <w:rsid w:val="0046229D"/>
    <w:rsid w:val="004623C5"/>
    <w:rsid w:val="004644B7"/>
    <w:rsid w:val="00467493"/>
    <w:rsid w:val="00470E85"/>
    <w:rsid w:val="0047121F"/>
    <w:rsid w:val="00471802"/>
    <w:rsid w:val="00472F0A"/>
    <w:rsid w:val="0047481E"/>
    <w:rsid w:val="00475557"/>
    <w:rsid w:val="00476E04"/>
    <w:rsid w:val="0047706F"/>
    <w:rsid w:val="00481162"/>
    <w:rsid w:val="00481902"/>
    <w:rsid w:val="00482156"/>
    <w:rsid w:val="00482E8D"/>
    <w:rsid w:val="00483C72"/>
    <w:rsid w:val="00484DE8"/>
    <w:rsid w:val="00485EA9"/>
    <w:rsid w:val="00485EAC"/>
    <w:rsid w:val="00486F85"/>
    <w:rsid w:val="00487261"/>
    <w:rsid w:val="00491440"/>
    <w:rsid w:val="00492C73"/>
    <w:rsid w:val="00494151"/>
    <w:rsid w:val="004957DF"/>
    <w:rsid w:val="004972C0"/>
    <w:rsid w:val="004A06BC"/>
    <w:rsid w:val="004A513D"/>
    <w:rsid w:val="004B5CDC"/>
    <w:rsid w:val="004B7560"/>
    <w:rsid w:val="004C49D0"/>
    <w:rsid w:val="004C4F2C"/>
    <w:rsid w:val="004C64D5"/>
    <w:rsid w:val="004C6C8A"/>
    <w:rsid w:val="004D0F02"/>
    <w:rsid w:val="004D2457"/>
    <w:rsid w:val="004D2EE4"/>
    <w:rsid w:val="004D3EB2"/>
    <w:rsid w:val="004D47E5"/>
    <w:rsid w:val="004D4947"/>
    <w:rsid w:val="004D52FB"/>
    <w:rsid w:val="004D5C7C"/>
    <w:rsid w:val="004D5D58"/>
    <w:rsid w:val="004D78D3"/>
    <w:rsid w:val="004E152C"/>
    <w:rsid w:val="004E1E59"/>
    <w:rsid w:val="004E1EA2"/>
    <w:rsid w:val="004E2F2D"/>
    <w:rsid w:val="004E315A"/>
    <w:rsid w:val="004F11FF"/>
    <w:rsid w:val="004F29D3"/>
    <w:rsid w:val="004F3CB1"/>
    <w:rsid w:val="004F3FF7"/>
    <w:rsid w:val="004F4126"/>
    <w:rsid w:val="00502499"/>
    <w:rsid w:val="00510D73"/>
    <w:rsid w:val="00511FC2"/>
    <w:rsid w:val="00513559"/>
    <w:rsid w:val="00516DD8"/>
    <w:rsid w:val="005203BC"/>
    <w:rsid w:val="00520604"/>
    <w:rsid w:val="00520956"/>
    <w:rsid w:val="005231F3"/>
    <w:rsid w:val="00524A44"/>
    <w:rsid w:val="00525C22"/>
    <w:rsid w:val="00527790"/>
    <w:rsid w:val="00527E6C"/>
    <w:rsid w:val="005333F9"/>
    <w:rsid w:val="00536A94"/>
    <w:rsid w:val="005378EE"/>
    <w:rsid w:val="00541E1B"/>
    <w:rsid w:val="005432E6"/>
    <w:rsid w:val="0054334F"/>
    <w:rsid w:val="00544FF7"/>
    <w:rsid w:val="005471E3"/>
    <w:rsid w:val="005563BE"/>
    <w:rsid w:val="005602CF"/>
    <w:rsid w:val="00566AD3"/>
    <w:rsid w:val="0056714F"/>
    <w:rsid w:val="00571725"/>
    <w:rsid w:val="00572520"/>
    <w:rsid w:val="0057274D"/>
    <w:rsid w:val="00574B36"/>
    <w:rsid w:val="00576771"/>
    <w:rsid w:val="00577523"/>
    <w:rsid w:val="0058017A"/>
    <w:rsid w:val="00580568"/>
    <w:rsid w:val="00580DFA"/>
    <w:rsid w:val="005811B7"/>
    <w:rsid w:val="005821AE"/>
    <w:rsid w:val="00582551"/>
    <w:rsid w:val="00582C0A"/>
    <w:rsid w:val="00583904"/>
    <w:rsid w:val="0058662B"/>
    <w:rsid w:val="0058744E"/>
    <w:rsid w:val="00596176"/>
    <w:rsid w:val="00596323"/>
    <w:rsid w:val="0059738C"/>
    <w:rsid w:val="005A105A"/>
    <w:rsid w:val="005A3E58"/>
    <w:rsid w:val="005A523A"/>
    <w:rsid w:val="005A5A64"/>
    <w:rsid w:val="005B3369"/>
    <w:rsid w:val="005B3441"/>
    <w:rsid w:val="005B3C39"/>
    <w:rsid w:val="005B4A07"/>
    <w:rsid w:val="005B4C3C"/>
    <w:rsid w:val="005B610D"/>
    <w:rsid w:val="005C249D"/>
    <w:rsid w:val="005C5005"/>
    <w:rsid w:val="005C6DAE"/>
    <w:rsid w:val="005D1338"/>
    <w:rsid w:val="005E3E0A"/>
    <w:rsid w:val="005E4AAE"/>
    <w:rsid w:val="005E5484"/>
    <w:rsid w:val="005E5E56"/>
    <w:rsid w:val="005F0F78"/>
    <w:rsid w:val="005F1C70"/>
    <w:rsid w:val="005F40B4"/>
    <w:rsid w:val="005F414E"/>
    <w:rsid w:val="006013BE"/>
    <w:rsid w:val="00601627"/>
    <w:rsid w:val="0060226A"/>
    <w:rsid w:val="006028BB"/>
    <w:rsid w:val="00602A53"/>
    <w:rsid w:val="0060526F"/>
    <w:rsid w:val="0060571D"/>
    <w:rsid w:val="00612916"/>
    <w:rsid w:val="00613997"/>
    <w:rsid w:val="0061486E"/>
    <w:rsid w:val="00615B17"/>
    <w:rsid w:val="00617CCE"/>
    <w:rsid w:val="00621C1A"/>
    <w:rsid w:val="0062215C"/>
    <w:rsid w:val="00625627"/>
    <w:rsid w:val="006262AA"/>
    <w:rsid w:val="0063019B"/>
    <w:rsid w:val="006352EB"/>
    <w:rsid w:val="0064360F"/>
    <w:rsid w:val="0065353F"/>
    <w:rsid w:val="00654616"/>
    <w:rsid w:val="00655906"/>
    <w:rsid w:val="006562BA"/>
    <w:rsid w:val="00657F11"/>
    <w:rsid w:val="00662940"/>
    <w:rsid w:val="006642A5"/>
    <w:rsid w:val="00665D60"/>
    <w:rsid w:val="00666BDC"/>
    <w:rsid w:val="00673B32"/>
    <w:rsid w:val="00674FEA"/>
    <w:rsid w:val="0067542C"/>
    <w:rsid w:val="00681201"/>
    <w:rsid w:val="00681A4E"/>
    <w:rsid w:val="00683A75"/>
    <w:rsid w:val="0068485C"/>
    <w:rsid w:val="00684D8D"/>
    <w:rsid w:val="00685ABB"/>
    <w:rsid w:val="00686A9A"/>
    <w:rsid w:val="00694D1E"/>
    <w:rsid w:val="006956DF"/>
    <w:rsid w:val="006976C5"/>
    <w:rsid w:val="006A56EF"/>
    <w:rsid w:val="006A6BC6"/>
    <w:rsid w:val="006A71FD"/>
    <w:rsid w:val="006B093A"/>
    <w:rsid w:val="006B2956"/>
    <w:rsid w:val="006B40B4"/>
    <w:rsid w:val="006B6D87"/>
    <w:rsid w:val="006B6DB1"/>
    <w:rsid w:val="006C16D6"/>
    <w:rsid w:val="006C27BB"/>
    <w:rsid w:val="006C5F11"/>
    <w:rsid w:val="006D33D4"/>
    <w:rsid w:val="006D3853"/>
    <w:rsid w:val="006D552C"/>
    <w:rsid w:val="006D7471"/>
    <w:rsid w:val="006D7CAB"/>
    <w:rsid w:val="006E0D9B"/>
    <w:rsid w:val="006E33FD"/>
    <w:rsid w:val="006E54A1"/>
    <w:rsid w:val="006E7D64"/>
    <w:rsid w:val="006F39B9"/>
    <w:rsid w:val="006F6C2B"/>
    <w:rsid w:val="006F6C72"/>
    <w:rsid w:val="007007C1"/>
    <w:rsid w:val="00702279"/>
    <w:rsid w:val="007117D2"/>
    <w:rsid w:val="00711DAC"/>
    <w:rsid w:val="00712977"/>
    <w:rsid w:val="007134A3"/>
    <w:rsid w:val="0071447F"/>
    <w:rsid w:val="0071744B"/>
    <w:rsid w:val="00717916"/>
    <w:rsid w:val="00722CA7"/>
    <w:rsid w:val="0072430A"/>
    <w:rsid w:val="00724CAD"/>
    <w:rsid w:val="00727F66"/>
    <w:rsid w:val="00730E99"/>
    <w:rsid w:val="0073193A"/>
    <w:rsid w:val="00732968"/>
    <w:rsid w:val="00733FF4"/>
    <w:rsid w:val="00737CAF"/>
    <w:rsid w:val="00737CCE"/>
    <w:rsid w:val="0074157D"/>
    <w:rsid w:val="007430FE"/>
    <w:rsid w:val="00743816"/>
    <w:rsid w:val="007438C2"/>
    <w:rsid w:val="0074472B"/>
    <w:rsid w:val="00744861"/>
    <w:rsid w:val="00745041"/>
    <w:rsid w:val="00745455"/>
    <w:rsid w:val="007470C0"/>
    <w:rsid w:val="007504EF"/>
    <w:rsid w:val="00750D07"/>
    <w:rsid w:val="0075126E"/>
    <w:rsid w:val="00751D7B"/>
    <w:rsid w:val="007521B4"/>
    <w:rsid w:val="007536BC"/>
    <w:rsid w:val="00755746"/>
    <w:rsid w:val="00760181"/>
    <w:rsid w:val="00770769"/>
    <w:rsid w:val="0077583F"/>
    <w:rsid w:val="0077667C"/>
    <w:rsid w:val="00777D80"/>
    <w:rsid w:val="00777EFF"/>
    <w:rsid w:val="00782E76"/>
    <w:rsid w:val="00785001"/>
    <w:rsid w:val="00786157"/>
    <w:rsid w:val="00794EB7"/>
    <w:rsid w:val="00796022"/>
    <w:rsid w:val="007A0CB4"/>
    <w:rsid w:val="007A18AF"/>
    <w:rsid w:val="007A5AD0"/>
    <w:rsid w:val="007A5C72"/>
    <w:rsid w:val="007A6F87"/>
    <w:rsid w:val="007B08DA"/>
    <w:rsid w:val="007B1797"/>
    <w:rsid w:val="007B5F8B"/>
    <w:rsid w:val="007B61D0"/>
    <w:rsid w:val="007B72F5"/>
    <w:rsid w:val="007C0107"/>
    <w:rsid w:val="007C0E22"/>
    <w:rsid w:val="007C17CD"/>
    <w:rsid w:val="007C1C8F"/>
    <w:rsid w:val="007C1C92"/>
    <w:rsid w:val="007C27A9"/>
    <w:rsid w:val="007C307B"/>
    <w:rsid w:val="007C5051"/>
    <w:rsid w:val="007C58D8"/>
    <w:rsid w:val="007C6243"/>
    <w:rsid w:val="007C7086"/>
    <w:rsid w:val="007D6334"/>
    <w:rsid w:val="007E0328"/>
    <w:rsid w:val="007E0C42"/>
    <w:rsid w:val="007E2430"/>
    <w:rsid w:val="007E4035"/>
    <w:rsid w:val="007E4AF0"/>
    <w:rsid w:val="007E5C33"/>
    <w:rsid w:val="007E7C03"/>
    <w:rsid w:val="007F657E"/>
    <w:rsid w:val="007F68DA"/>
    <w:rsid w:val="008022FD"/>
    <w:rsid w:val="0080352E"/>
    <w:rsid w:val="008131BA"/>
    <w:rsid w:val="00816E40"/>
    <w:rsid w:val="00820592"/>
    <w:rsid w:val="008226CD"/>
    <w:rsid w:val="00822DFA"/>
    <w:rsid w:val="00825546"/>
    <w:rsid w:val="008268CB"/>
    <w:rsid w:val="008278DA"/>
    <w:rsid w:val="00827C4C"/>
    <w:rsid w:val="0083046A"/>
    <w:rsid w:val="00837FDD"/>
    <w:rsid w:val="00840447"/>
    <w:rsid w:val="0084133E"/>
    <w:rsid w:val="008421F6"/>
    <w:rsid w:val="0084252B"/>
    <w:rsid w:val="00843749"/>
    <w:rsid w:val="0084410C"/>
    <w:rsid w:val="0084477F"/>
    <w:rsid w:val="00850B75"/>
    <w:rsid w:val="00851097"/>
    <w:rsid w:val="0085285D"/>
    <w:rsid w:val="00853D9E"/>
    <w:rsid w:val="00853F9B"/>
    <w:rsid w:val="00854E2D"/>
    <w:rsid w:val="0085608B"/>
    <w:rsid w:val="00860BC2"/>
    <w:rsid w:val="00866A88"/>
    <w:rsid w:val="008765C8"/>
    <w:rsid w:val="00876FA1"/>
    <w:rsid w:val="00877417"/>
    <w:rsid w:val="00881574"/>
    <w:rsid w:val="00886C78"/>
    <w:rsid w:val="00890917"/>
    <w:rsid w:val="00891B2D"/>
    <w:rsid w:val="008922EE"/>
    <w:rsid w:val="008925A9"/>
    <w:rsid w:val="00897318"/>
    <w:rsid w:val="00897542"/>
    <w:rsid w:val="00897C32"/>
    <w:rsid w:val="008A2B82"/>
    <w:rsid w:val="008A73D7"/>
    <w:rsid w:val="008B1BAE"/>
    <w:rsid w:val="008B210C"/>
    <w:rsid w:val="008B2AB9"/>
    <w:rsid w:val="008B3BA5"/>
    <w:rsid w:val="008B593A"/>
    <w:rsid w:val="008B70BA"/>
    <w:rsid w:val="008C2E67"/>
    <w:rsid w:val="008C4A29"/>
    <w:rsid w:val="008C50DB"/>
    <w:rsid w:val="008D0381"/>
    <w:rsid w:val="008D11A5"/>
    <w:rsid w:val="008D36B5"/>
    <w:rsid w:val="008D7D32"/>
    <w:rsid w:val="008E073B"/>
    <w:rsid w:val="008E3D32"/>
    <w:rsid w:val="008E6209"/>
    <w:rsid w:val="008F071B"/>
    <w:rsid w:val="008F0E1D"/>
    <w:rsid w:val="008F65C7"/>
    <w:rsid w:val="008F6FA3"/>
    <w:rsid w:val="008F7073"/>
    <w:rsid w:val="00901035"/>
    <w:rsid w:val="009018A1"/>
    <w:rsid w:val="00902E2B"/>
    <w:rsid w:val="00904EF3"/>
    <w:rsid w:val="00907AE8"/>
    <w:rsid w:val="009126CF"/>
    <w:rsid w:val="0091322B"/>
    <w:rsid w:val="00914C6A"/>
    <w:rsid w:val="009164B4"/>
    <w:rsid w:val="00920F86"/>
    <w:rsid w:val="009210CB"/>
    <w:rsid w:val="009216F6"/>
    <w:rsid w:val="0092179E"/>
    <w:rsid w:val="009227D7"/>
    <w:rsid w:val="0092290B"/>
    <w:rsid w:val="00926CBD"/>
    <w:rsid w:val="009272F5"/>
    <w:rsid w:val="009331D4"/>
    <w:rsid w:val="00935030"/>
    <w:rsid w:val="00935E24"/>
    <w:rsid w:val="00937689"/>
    <w:rsid w:val="00937FD2"/>
    <w:rsid w:val="0094030A"/>
    <w:rsid w:val="00941F8E"/>
    <w:rsid w:val="00942712"/>
    <w:rsid w:val="009438CF"/>
    <w:rsid w:val="009451E3"/>
    <w:rsid w:val="00945EBD"/>
    <w:rsid w:val="00947E66"/>
    <w:rsid w:val="00966AC3"/>
    <w:rsid w:val="00966B72"/>
    <w:rsid w:val="00970DEF"/>
    <w:rsid w:val="0097400A"/>
    <w:rsid w:val="00980111"/>
    <w:rsid w:val="00987CEB"/>
    <w:rsid w:val="00993361"/>
    <w:rsid w:val="00994E1B"/>
    <w:rsid w:val="00996A9F"/>
    <w:rsid w:val="009A007E"/>
    <w:rsid w:val="009A1AF1"/>
    <w:rsid w:val="009A5E3F"/>
    <w:rsid w:val="009B075D"/>
    <w:rsid w:val="009B093B"/>
    <w:rsid w:val="009B09ED"/>
    <w:rsid w:val="009B6A4D"/>
    <w:rsid w:val="009B7DBF"/>
    <w:rsid w:val="009C224D"/>
    <w:rsid w:val="009C2BBF"/>
    <w:rsid w:val="009C2D05"/>
    <w:rsid w:val="009C32A2"/>
    <w:rsid w:val="009C4686"/>
    <w:rsid w:val="009C5226"/>
    <w:rsid w:val="009D194E"/>
    <w:rsid w:val="009D4964"/>
    <w:rsid w:val="009D49A8"/>
    <w:rsid w:val="009D737E"/>
    <w:rsid w:val="009E0551"/>
    <w:rsid w:val="009E0DD5"/>
    <w:rsid w:val="009E1EB6"/>
    <w:rsid w:val="009E71E0"/>
    <w:rsid w:val="009F0F0B"/>
    <w:rsid w:val="009F33C2"/>
    <w:rsid w:val="009F460F"/>
    <w:rsid w:val="009F4D2A"/>
    <w:rsid w:val="00A04833"/>
    <w:rsid w:val="00A059F2"/>
    <w:rsid w:val="00A065D1"/>
    <w:rsid w:val="00A10312"/>
    <w:rsid w:val="00A106CA"/>
    <w:rsid w:val="00A13DB0"/>
    <w:rsid w:val="00A17325"/>
    <w:rsid w:val="00A20268"/>
    <w:rsid w:val="00A22D7D"/>
    <w:rsid w:val="00A2576A"/>
    <w:rsid w:val="00A26745"/>
    <w:rsid w:val="00A33F84"/>
    <w:rsid w:val="00A416C6"/>
    <w:rsid w:val="00A43BF7"/>
    <w:rsid w:val="00A453CE"/>
    <w:rsid w:val="00A53646"/>
    <w:rsid w:val="00A54133"/>
    <w:rsid w:val="00A5440D"/>
    <w:rsid w:val="00A56F57"/>
    <w:rsid w:val="00A57AEF"/>
    <w:rsid w:val="00A626F9"/>
    <w:rsid w:val="00A650EA"/>
    <w:rsid w:val="00A7005B"/>
    <w:rsid w:val="00A703FF"/>
    <w:rsid w:val="00A72F6D"/>
    <w:rsid w:val="00A73BC9"/>
    <w:rsid w:val="00A759E6"/>
    <w:rsid w:val="00A779B4"/>
    <w:rsid w:val="00A82276"/>
    <w:rsid w:val="00A855F3"/>
    <w:rsid w:val="00A85FEF"/>
    <w:rsid w:val="00A879BC"/>
    <w:rsid w:val="00A879DB"/>
    <w:rsid w:val="00A90A35"/>
    <w:rsid w:val="00A90ACD"/>
    <w:rsid w:val="00A9120C"/>
    <w:rsid w:val="00A921D6"/>
    <w:rsid w:val="00A94085"/>
    <w:rsid w:val="00A94573"/>
    <w:rsid w:val="00A946A2"/>
    <w:rsid w:val="00A957D7"/>
    <w:rsid w:val="00A96625"/>
    <w:rsid w:val="00AA1286"/>
    <w:rsid w:val="00AA4C96"/>
    <w:rsid w:val="00AB0494"/>
    <w:rsid w:val="00AB77BC"/>
    <w:rsid w:val="00AB7D5B"/>
    <w:rsid w:val="00AC199F"/>
    <w:rsid w:val="00AD220A"/>
    <w:rsid w:val="00AD32B9"/>
    <w:rsid w:val="00AD3837"/>
    <w:rsid w:val="00AD788E"/>
    <w:rsid w:val="00AE0372"/>
    <w:rsid w:val="00AE0966"/>
    <w:rsid w:val="00AE1018"/>
    <w:rsid w:val="00AE261C"/>
    <w:rsid w:val="00AE5435"/>
    <w:rsid w:val="00AE5C55"/>
    <w:rsid w:val="00AE695E"/>
    <w:rsid w:val="00AF1BE9"/>
    <w:rsid w:val="00AF4D29"/>
    <w:rsid w:val="00AF5B8F"/>
    <w:rsid w:val="00B063B9"/>
    <w:rsid w:val="00B12978"/>
    <w:rsid w:val="00B153B7"/>
    <w:rsid w:val="00B16CB8"/>
    <w:rsid w:val="00B16DE9"/>
    <w:rsid w:val="00B20567"/>
    <w:rsid w:val="00B21CEA"/>
    <w:rsid w:val="00B23190"/>
    <w:rsid w:val="00B233F1"/>
    <w:rsid w:val="00B2386B"/>
    <w:rsid w:val="00B27C38"/>
    <w:rsid w:val="00B30637"/>
    <w:rsid w:val="00B30CF5"/>
    <w:rsid w:val="00B30CFC"/>
    <w:rsid w:val="00B33EB4"/>
    <w:rsid w:val="00B35668"/>
    <w:rsid w:val="00B36394"/>
    <w:rsid w:val="00B37441"/>
    <w:rsid w:val="00B421FA"/>
    <w:rsid w:val="00B42C3D"/>
    <w:rsid w:val="00B449F3"/>
    <w:rsid w:val="00B53448"/>
    <w:rsid w:val="00B534B1"/>
    <w:rsid w:val="00B53A9B"/>
    <w:rsid w:val="00B56855"/>
    <w:rsid w:val="00B573C2"/>
    <w:rsid w:val="00B61E42"/>
    <w:rsid w:val="00B61F01"/>
    <w:rsid w:val="00B6308F"/>
    <w:rsid w:val="00B64A0C"/>
    <w:rsid w:val="00B64B88"/>
    <w:rsid w:val="00B675BF"/>
    <w:rsid w:val="00B718B6"/>
    <w:rsid w:val="00B73BCF"/>
    <w:rsid w:val="00B75D3B"/>
    <w:rsid w:val="00B76493"/>
    <w:rsid w:val="00B8004B"/>
    <w:rsid w:val="00B870F2"/>
    <w:rsid w:val="00B90479"/>
    <w:rsid w:val="00B9134D"/>
    <w:rsid w:val="00B92741"/>
    <w:rsid w:val="00B93646"/>
    <w:rsid w:val="00B95683"/>
    <w:rsid w:val="00B95C85"/>
    <w:rsid w:val="00B95D50"/>
    <w:rsid w:val="00B96B6B"/>
    <w:rsid w:val="00BA052B"/>
    <w:rsid w:val="00BA3D0C"/>
    <w:rsid w:val="00BA4EA4"/>
    <w:rsid w:val="00BA50A8"/>
    <w:rsid w:val="00BA77EB"/>
    <w:rsid w:val="00BB055C"/>
    <w:rsid w:val="00BB1978"/>
    <w:rsid w:val="00BB207A"/>
    <w:rsid w:val="00BB3CED"/>
    <w:rsid w:val="00BB5E27"/>
    <w:rsid w:val="00BB7186"/>
    <w:rsid w:val="00BB78ED"/>
    <w:rsid w:val="00BC13C0"/>
    <w:rsid w:val="00BC2400"/>
    <w:rsid w:val="00BC303E"/>
    <w:rsid w:val="00BC4051"/>
    <w:rsid w:val="00BC609B"/>
    <w:rsid w:val="00BD26E9"/>
    <w:rsid w:val="00BD38E8"/>
    <w:rsid w:val="00BD47D0"/>
    <w:rsid w:val="00BD4D84"/>
    <w:rsid w:val="00BD6327"/>
    <w:rsid w:val="00BD67F1"/>
    <w:rsid w:val="00BD6D5C"/>
    <w:rsid w:val="00BE0694"/>
    <w:rsid w:val="00BE13B6"/>
    <w:rsid w:val="00BE192A"/>
    <w:rsid w:val="00BE1FFF"/>
    <w:rsid w:val="00BE4F43"/>
    <w:rsid w:val="00BE603B"/>
    <w:rsid w:val="00BF061A"/>
    <w:rsid w:val="00BF1895"/>
    <w:rsid w:val="00BF18CF"/>
    <w:rsid w:val="00BF1A60"/>
    <w:rsid w:val="00BF4025"/>
    <w:rsid w:val="00BF4E05"/>
    <w:rsid w:val="00BF5E94"/>
    <w:rsid w:val="00C00564"/>
    <w:rsid w:val="00C03258"/>
    <w:rsid w:val="00C039E7"/>
    <w:rsid w:val="00C060FD"/>
    <w:rsid w:val="00C163D3"/>
    <w:rsid w:val="00C16CB3"/>
    <w:rsid w:val="00C1750F"/>
    <w:rsid w:val="00C17A5E"/>
    <w:rsid w:val="00C17E8E"/>
    <w:rsid w:val="00C21873"/>
    <w:rsid w:val="00C252A6"/>
    <w:rsid w:val="00C2658A"/>
    <w:rsid w:val="00C26861"/>
    <w:rsid w:val="00C273D3"/>
    <w:rsid w:val="00C31283"/>
    <w:rsid w:val="00C335C0"/>
    <w:rsid w:val="00C36A1B"/>
    <w:rsid w:val="00C37BDE"/>
    <w:rsid w:val="00C40C71"/>
    <w:rsid w:val="00C44BDE"/>
    <w:rsid w:val="00C46E7A"/>
    <w:rsid w:val="00C47AB5"/>
    <w:rsid w:val="00C50B9F"/>
    <w:rsid w:val="00C52843"/>
    <w:rsid w:val="00C53266"/>
    <w:rsid w:val="00C54D1C"/>
    <w:rsid w:val="00C56BA0"/>
    <w:rsid w:val="00C579D7"/>
    <w:rsid w:val="00C57BF9"/>
    <w:rsid w:val="00C57CB9"/>
    <w:rsid w:val="00C61403"/>
    <w:rsid w:val="00C61AFE"/>
    <w:rsid w:val="00C62415"/>
    <w:rsid w:val="00C62436"/>
    <w:rsid w:val="00C64CF4"/>
    <w:rsid w:val="00C70779"/>
    <w:rsid w:val="00C70C5D"/>
    <w:rsid w:val="00C715C4"/>
    <w:rsid w:val="00C716D6"/>
    <w:rsid w:val="00C71F22"/>
    <w:rsid w:val="00C7251E"/>
    <w:rsid w:val="00C73DB3"/>
    <w:rsid w:val="00C75318"/>
    <w:rsid w:val="00C811EB"/>
    <w:rsid w:val="00C86782"/>
    <w:rsid w:val="00C86D6C"/>
    <w:rsid w:val="00C917F6"/>
    <w:rsid w:val="00C962E2"/>
    <w:rsid w:val="00C96B8C"/>
    <w:rsid w:val="00CA1C94"/>
    <w:rsid w:val="00CA3F49"/>
    <w:rsid w:val="00CA671D"/>
    <w:rsid w:val="00CA69E4"/>
    <w:rsid w:val="00CB07E2"/>
    <w:rsid w:val="00CB2025"/>
    <w:rsid w:val="00CB221C"/>
    <w:rsid w:val="00CB4019"/>
    <w:rsid w:val="00CB7DD8"/>
    <w:rsid w:val="00CC0A75"/>
    <w:rsid w:val="00CC1533"/>
    <w:rsid w:val="00CC5473"/>
    <w:rsid w:val="00CD0227"/>
    <w:rsid w:val="00CD0960"/>
    <w:rsid w:val="00CD64F8"/>
    <w:rsid w:val="00CE4FC2"/>
    <w:rsid w:val="00CE640C"/>
    <w:rsid w:val="00CF065D"/>
    <w:rsid w:val="00CF44BD"/>
    <w:rsid w:val="00CF7925"/>
    <w:rsid w:val="00CF7BC3"/>
    <w:rsid w:val="00D03C49"/>
    <w:rsid w:val="00D04159"/>
    <w:rsid w:val="00D04235"/>
    <w:rsid w:val="00D04D86"/>
    <w:rsid w:val="00D0587F"/>
    <w:rsid w:val="00D07A2E"/>
    <w:rsid w:val="00D13AEF"/>
    <w:rsid w:val="00D14DE4"/>
    <w:rsid w:val="00D15CCA"/>
    <w:rsid w:val="00D163E5"/>
    <w:rsid w:val="00D165ED"/>
    <w:rsid w:val="00D22BB3"/>
    <w:rsid w:val="00D247C1"/>
    <w:rsid w:val="00D26795"/>
    <w:rsid w:val="00D301B9"/>
    <w:rsid w:val="00D31DF7"/>
    <w:rsid w:val="00D330B9"/>
    <w:rsid w:val="00D336EF"/>
    <w:rsid w:val="00D34049"/>
    <w:rsid w:val="00D357BC"/>
    <w:rsid w:val="00D37819"/>
    <w:rsid w:val="00D408D8"/>
    <w:rsid w:val="00D41C64"/>
    <w:rsid w:val="00D43156"/>
    <w:rsid w:val="00D43CB9"/>
    <w:rsid w:val="00D43FED"/>
    <w:rsid w:val="00D45C5E"/>
    <w:rsid w:val="00D50119"/>
    <w:rsid w:val="00D50EE8"/>
    <w:rsid w:val="00D515BC"/>
    <w:rsid w:val="00D53AB7"/>
    <w:rsid w:val="00D54B52"/>
    <w:rsid w:val="00D5552F"/>
    <w:rsid w:val="00D568BA"/>
    <w:rsid w:val="00D57447"/>
    <w:rsid w:val="00D601E2"/>
    <w:rsid w:val="00D61B7A"/>
    <w:rsid w:val="00D63A08"/>
    <w:rsid w:val="00D651E4"/>
    <w:rsid w:val="00D65510"/>
    <w:rsid w:val="00D6744F"/>
    <w:rsid w:val="00D71A86"/>
    <w:rsid w:val="00D71E65"/>
    <w:rsid w:val="00D7353B"/>
    <w:rsid w:val="00D75035"/>
    <w:rsid w:val="00D751FC"/>
    <w:rsid w:val="00D762EA"/>
    <w:rsid w:val="00D76E04"/>
    <w:rsid w:val="00D775EA"/>
    <w:rsid w:val="00D815D2"/>
    <w:rsid w:val="00D81C7B"/>
    <w:rsid w:val="00D81D66"/>
    <w:rsid w:val="00D83733"/>
    <w:rsid w:val="00D857FD"/>
    <w:rsid w:val="00D8676A"/>
    <w:rsid w:val="00D92039"/>
    <w:rsid w:val="00D93BBA"/>
    <w:rsid w:val="00D94221"/>
    <w:rsid w:val="00D95DBB"/>
    <w:rsid w:val="00D97123"/>
    <w:rsid w:val="00DA1050"/>
    <w:rsid w:val="00DA4A5F"/>
    <w:rsid w:val="00DA4BC7"/>
    <w:rsid w:val="00DA4C38"/>
    <w:rsid w:val="00DB04CC"/>
    <w:rsid w:val="00DB318D"/>
    <w:rsid w:val="00DC470C"/>
    <w:rsid w:val="00DD2B6B"/>
    <w:rsid w:val="00DD6856"/>
    <w:rsid w:val="00DD722E"/>
    <w:rsid w:val="00DE0AFF"/>
    <w:rsid w:val="00DE39D6"/>
    <w:rsid w:val="00DE45BF"/>
    <w:rsid w:val="00DF02AE"/>
    <w:rsid w:val="00DF66AA"/>
    <w:rsid w:val="00DF7DA8"/>
    <w:rsid w:val="00E026E8"/>
    <w:rsid w:val="00E048D3"/>
    <w:rsid w:val="00E05BE4"/>
    <w:rsid w:val="00E13758"/>
    <w:rsid w:val="00E13881"/>
    <w:rsid w:val="00E152F8"/>
    <w:rsid w:val="00E201AE"/>
    <w:rsid w:val="00E21226"/>
    <w:rsid w:val="00E245EA"/>
    <w:rsid w:val="00E35329"/>
    <w:rsid w:val="00E40E90"/>
    <w:rsid w:val="00E4104A"/>
    <w:rsid w:val="00E46CA3"/>
    <w:rsid w:val="00E5183B"/>
    <w:rsid w:val="00E52955"/>
    <w:rsid w:val="00E53B0F"/>
    <w:rsid w:val="00E55452"/>
    <w:rsid w:val="00E55B80"/>
    <w:rsid w:val="00E55BA9"/>
    <w:rsid w:val="00E55E46"/>
    <w:rsid w:val="00E6095D"/>
    <w:rsid w:val="00E62C40"/>
    <w:rsid w:val="00E63D56"/>
    <w:rsid w:val="00E67A7D"/>
    <w:rsid w:val="00E71AA5"/>
    <w:rsid w:val="00E76543"/>
    <w:rsid w:val="00E776CD"/>
    <w:rsid w:val="00E81BF8"/>
    <w:rsid w:val="00E84D02"/>
    <w:rsid w:val="00E90C47"/>
    <w:rsid w:val="00E91B7A"/>
    <w:rsid w:val="00E93B8D"/>
    <w:rsid w:val="00E94D2C"/>
    <w:rsid w:val="00E95406"/>
    <w:rsid w:val="00E957FE"/>
    <w:rsid w:val="00EA0475"/>
    <w:rsid w:val="00EA0D90"/>
    <w:rsid w:val="00EA16A7"/>
    <w:rsid w:val="00EA4E88"/>
    <w:rsid w:val="00EA581A"/>
    <w:rsid w:val="00EA6B4C"/>
    <w:rsid w:val="00EA6EDA"/>
    <w:rsid w:val="00EB1977"/>
    <w:rsid w:val="00EB27DC"/>
    <w:rsid w:val="00EB7F6D"/>
    <w:rsid w:val="00EC0A25"/>
    <w:rsid w:val="00EC0FEF"/>
    <w:rsid w:val="00EC3303"/>
    <w:rsid w:val="00EC5F6D"/>
    <w:rsid w:val="00EC7089"/>
    <w:rsid w:val="00EC70C6"/>
    <w:rsid w:val="00ED0867"/>
    <w:rsid w:val="00ED0EFF"/>
    <w:rsid w:val="00ED258C"/>
    <w:rsid w:val="00ED2D90"/>
    <w:rsid w:val="00EE0DFD"/>
    <w:rsid w:val="00EE4E6C"/>
    <w:rsid w:val="00EE5A4C"/>
    <w:rsid w:val="00EF042F"/>
    <w:rsid w:val="00EF1381"/>
    <w:rsid w:val="00EF1B94"/>
    <w:rsid w:val="00EF344B"/>
    <w:rsid w:val="00EF3C44"/>
    <w:rsid w:val="00EF77C3"/>
    <w:rsid w:val="00F02BF3"/>
    <w:rsid w:val="00F05132"/>
    <w:rsid w:val="00F06775"/>
    <w:rsid w:val="00F11C09"/>
    <w:rsid w:val="00F1381D"/>
    <w:rsid w:val="00F17854"/>
    <w:rsid w:val="00F24C97"/>
    <w:rsid w:val="00F24CEC"/>
    <w:rsid w:val="00F26FBD"/>
    <w:rsid w:val="00F30C38"/>
    <w:rsid w:val="00F36B89"/>
    <w:rsid w:val="00F43022"/>
    <w:rsid w:val="00F43309"/>
    <w:rsid w:val="00F44F50"/>
    <w:rsid w:val="00F46B90"/>
    <w:rsid w:val="00F4730A"/>
    <w:rsid w:val="00F47340"/>
    <w:rsid w:val="00F47E60"/>
    <w:rsid w:val="00F5162E"/>
    <w:rsid w:val="00F5171D"/>
    <w:rsid w:val="00F52E26"/>
    <w:rsid w:val="00F5310E"/>
    <w:rsid w:val="00F533CF"/>
    <w:rsid w:val="00F602E9"/>
    <w:rsid w:val="00F60579"/>
    <w:rsid w:val="00F63FCE"/>
    <w:rsid w:val="00F65814"/>
    <w:rsid w:val="00F72B0D"/>
    <w:rsid w:val="00F7459B"/>
    <w:rsid w:val="00F7504D"/>
    <w:rsid w:val="00F83259"/>
    <w:rsid w:val="00F833C6"/>
    <w:rsid w:val="00F83993"/>
    <w:rsid w:val="00F86372"/>
    <w:rsid w:val="00F91D7D"/>
    <w:rsid w:val="00F958C9"/>
    <w:rsid w:val="00F96777"/>
    <w:rsid w:val="00FA2923"/>
    <w:rsid w:val="00FA50E7"/>
    <w:rsid w:val="00FA708F"/>
    <w:rsid w:val="00FB2076"/>
    <w:rsid w:val="00FB7F63"/>
    <w:rsid w:val="00FC16B5"/>
    <w:rsid w:val="00FC16F4"/>
    <w:rsid w:val="00FC3851"/>
    <w:rsid w:val="00FC43AA"/>
    <w:rsid w:val="00FC4BC5"/>
    <w:rsid w:val="00FD183E"/>
    <w:rsid w:val="00FD46DE"/>
    <w:rsid w:val="00FD5D78"/>
    <w:rsid w:val="00FE107D"/>
    <w:rsid w:val="00FE1A6F"/>
    <w:rsid w:val="00FE1BA2"/>
    <w:rsid w:val="00FE386B"/>
    <w:rsid w:val="00FE66EF"/>
    <w:rsid w:val="00FF454C"/>
    <w:rsid w:val="00FF461E"/>
    <w:rsid w:val="00FF57B8"/>
    <w:rsid w:val="00FF61A3"/>
    <w:rsid w:val="00FF6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CF28"/>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3B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73B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201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B73B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91B2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maz_wyliczenie,opis dzialania,K-P_odwolanie,A_wyliczenie,Akapit z listą 1,L1,Numerowanie,List Paragraph,CW_Lista,T_SZ_List Paragraph,Akapit z listą5,List Paragraph1,Lista PR,Numeracja załączników"/>
    <w:basedOn w:val="Normalny"/>
    <w:link w:val="AkapitzlistZnak"/>
    <w:uiPriority w:val="34"/>
    <w:qFormat/>
    <w:rsid w:val="00891B2D"/>
    <w:pPr>
      <w:ind w:left="720"/>
      <w:contextualSpacing/>
    </w:pPr>
  </w:style>
  <w:style w:type="paragraph" w:styleId="Tekstdymka">
    <w:name w:val="Balloon Text"/>
    <w:basedOn w:val="Normalny"/>
    <w:link w:val="TekstdymkaZnak"/>
    <w:uiPriority w:val="99"/>
    <w:semiHidden/>
    <w:unhideWhenUsed/>
    <w:rsid w:val="005231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1F3"/>
    <w:rPr>
      <w:rFonts w:ascii="Segoe UI" w:hAnsi="Segoe UI" w:cs="Segoe UI"/>
      <w:sz w:val="18"/>
      <w:szCs w:val="18"/>
    </w:rPr>
  </w:style>
  <w:style w:type="character" w:styleId="Odwoaniedokomentarza">
    <w:name w:val="annotation reference"/>
    <w:basedOn w:val="Domylnaczcionkaakapitu"/>
    <w:uiPriority w:val="99"/>
    <w:semiHidden/>
    <w:unhideWhenUsed/>
    <w:rsid w:val="001D1A24"/>
    <w:rPr>
      <w:sz w:val="16"/>
      <w:szCs w:val="16"/>
    </w:rPr>
  </w:style>
  <w:style w:type="paragraph" w:styleId="Tekstkomentarza">
    <w:name w:val="annotation text"/>
    <w:basedOn w:val="Normalny"/>
    <w:link w:val="TekstkomentarzaZnak"/>
    <w:uiPriority w:val="99"/>
    <w:unhideWhenUsed/>
    <w:rsid w:val="001D1A24"/>
    <w:pPr>
      <w:spacing w:line="240" w:lineRule="auto"/>
    </w:pPr>
    <w:rPr>
      <w:sz w:val="20"/>
      <w:szCs w:val="20"/>
    </w:rPr>
  </w:style>
  <w:style w:type="character" w:customStyle="1" w:styleId="TekstkomentarzaZnak">
    <w:name w:val="Tekst komentarza Znak"/>
    <w:basedOn w:val="Domylnaczcionkaakapitu"/>
    <w:link w:val="Tekstkomentarza"/>
    <w:uiPriority w:val="99"/>
    <w:rsid w:val="001D1A24"/>
    <w:rPr>
      <w:sz w:val="20"/>
      <w:szCs w:val="20"/>
    </w:rPr>
  </w:style>
  <w:style w:type="paragraph" w:styleId="Tematkomentarza">
    <w:name w:val="annotation subject"/>
    <w:basedOn w:val="Tekstkomentarza"/>
    <w:next w:val="Tekstkomentarza"/>
    <w:link w:val="TematkomentarzaZnak"/>
    <w:uiPriority w:val="99"/>
    <w:semiHidden/>
    <w:unhideWhenUsed/>
    <w:rsid w:val="001D1A24"/>
    <w:rPr>
      <w:b/>
      <w:bCs/>
    </w:rPr>
  </w:style>
  <w:style w:type="character" w:customStyle="1" w:styleId="TematkomentarzaZnak">
    <w:name w:val="Temat komentarza Znak"/>
    <w:basedOn w:val="TekstkomentarzaZnak"/>
    <w:link w:val="Tematkomentarza"/>
    <w:uiPriority w:val="99"/>
    <w:semiHidden/>
    <w:rsid w:val="001D1A24"/>
    <w:rPr>
      <w:b/>
      <w:bCs/>
      <w:sz w:val="20"/>
      <w:szCs w:val="20"/>
    </w:rPr>
  </w:style>
  <w:style w:type="character" w:styleId="Hipercze">
    <w:name w:val="Hyperlink"/>
    <w:basedOn w:val="Domylnaczcionkaakapitu"/>
    <w:uiPriority w:val="99"/>
    <w:unhideWhenUsed/>
    <w:rsid w:val="00B449F3"/>
    <w:rPr>
      <w:color w:val="0563C1" w:themeColor="hyperlink"/>
      <w:u w:val="single"/>
    </w:rPr>
  </w:style>
  <w:style w:type="paragraph" w:styleId="Tekstprzypisudolnego">
    <w:name w:val="footnote text"/>
    <w:basedOn w:val="Normalny"/>
    <w:link w:val="TekstprzypisudolnegoZnak"/>
    <w:uiPriority w:val="99"/>
    <w:semiHidden/>
    <w:unhideWhenUsed/>
    <w:rsid w:val="00057D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7D68"/>
    <w:rPr>
      <w:sz w:val="20"/>
      <w:szCs w:val="20"/>
    </w:rPr>
  </w:style>
  <w:style w:type="character" w:styleId="Odwoanieprzypisudolnego">
    <w:name w:val="footnote reference"/>
    <w:basedOn w:val="Domylnaczcionkaakapitu"/>
    <w:uiPriority w:val="99"/>
    <w:semiHidden/>
    <w:unhideWhenUsed/>
    <w:rsid w:val="00057D68"/>
    <w:rPr>
      <w:vertAlign w:val="superscript"/>
    </w:rPr>
  </w:style>
  <w:style w:type="paragraph" w:styleId="Nagwek">
    <w:name w:val="header"/>
    <w:basedOn w:val="Normalny"/>
    <w:link w:val="NagwekZnak"/>
    <w:uiPriority w:val="99"/>
    <w:unhideWhenUsed/>
    <w:rsid w:val="0048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C72"/>
  </w:style>
  <w:style w:type="paragraph" w:styleId="Stopka">
    <w:name w:val="footer"/>
    <w:basedOn w:val="Normalny"/>
    <w:link w:val="StopkaZnak"/>
    <w:uiPriority w:val="99"/>
    <w:unhideWhenUsed/>
    <w:rsid w:val="0048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72"/>
  </w:style>
  <w:style w:type="character" w:customStyle="1" w:styleId="Nagwek2Znak">
    <w:name w:val="Nagłówek 2 Znak"/>
    <w:basedOn w:val="Domylnaczcionkaakapitu"/>
    <w:link w:val="Nagwek2"/>
    <w:uiPriority w:val="9"/>
    <w:rsid w:val="00B73BCF"/>
    <w:rPr>
      <w:rFonts w:asciiTheme="majorHAnsi" w:eastAsiaTheme="majorEastAsia" w:hAnsiTheme="majorHAnsi" w:cstheme="majorBidi"/>
      <w:color w:val="2E74B5" w:themeColor="accent1" w:themeShade="BF"/>
      <w:sz w:val="26"/>
      <w:szCs w:val="26"/>
    </w:rPr>
  </w:style>
  <w:style w:type="paragraph" w:styleId="Tytu">
    <w:name w:val="Title"/>
    <w:basedOn w:val="Normalny"/>
    <w:next w:val="Normalny"/>
    <w:link w:val="TytuZnak"/>
    <w:uiPriority w:val="10"/>
    <w:qFormat/>
    <w:rsid w:val="00B73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3B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3BC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73BCF"/>
    <w:rPr>
      <w:rFonts w:eastAsiaTheme="minorEastAsia"/>
      <w:color w:val="5A5A5A" w:themeColor="text1" w:themeTint="A5"/>
      <w:spacing w:val="15"/>
    </w:rPr>
  </w:style>
  <w:style w:type="character" w:customStyle="1" w:styleId="Nagwek4Znak">
    <w:name w:val="Nagłówek 4 Znak"/>
    <w:basedOn w:val="Domylnaczcionkaakapitu"/>
    <w:link w:val="Nagwek4"/>
    <w:uiPriority w:val="9"/>
    <w:semiHidden/>
    <w:rsid w:val="00B73BCF"/>
    <w:rPr>
      <w:rFonts w:asciiTheme="majorHAnsi" w:eastAsiaTheme="majorEastAsia" w:hAnsiTheme="majorHAnsi" w:cstheme="majorBidi"/>
      <w:i/>
      <w:iCs/>
      <w:color w:val="2E74B5" w:themeColor="accent1" w:themeShade="BF"/>
    </w:rPr>
  </w:style>
  <w:style w:type="character" w:customStyle="1" w:styleId="Nagwek1Znak">
    <w:name w:val="Nagłówek 1 Znak"/>
    <w:basedOn w:val="Domylnaczcionkaakapitu"/>
    <w:link w:val="Nagwek1"/>
    <w:uiPriority w:val="9"/>
    <w:rsid w:val="00B73BCF"/>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
    <w:link w:val="Akapitzlist"/>
    <w:uiPriority w:val="34"/>
    <w:qFormat/>
    <w:locked/>
    <w:rsid w:val="00796022"/>
  </w:style>
  <w:style w:type="character" w:customStyle="1" w:styleId="Nierozpoznanawzmianka1">
    <w:name w:val="Nierozpoznana wzmianka1"/>
    <w:basedOn w:val="Domylnaczcionkaakapitu"/>
    <w:uiPriority w:val="99"/>
    <w:semiHidden/>
    <w:unhideWhenUsed/>
    <w:rsid w:val="00D8676A"/>
    <w:rPr>
      <w:color w:val="605E5C"/>
      <w:shd w:val="clear" w:color="auto" w:fill="E1DFDD"/>
    </w:rPr>
  </w:style>
  <w:style w:type="paragraph" w:styleId="Poprawka">
    <w:name w:val="Revision"/>
    <w:hidden/>
    <w:uiPriority w:val="99"/>
    <w:semiHidden/>
    <w:rsid w:val="00AD32B9"/>
    <w:pPr>
      <w:spacing w:after="0" w:line="240" w:lineRule="auto"/>
    </w:pPr>
  </w:style>
  <w:style w:type="character" w:customStyle="1" w:styleId="Nierozpoznanawzmianka2">
    <w:name w:val="Nierozpoznana wzmianka2"/>
    <w:basedOn w:val="Domylnaczcionkaakapitu"/>
    <w:uiPriority w:val="99"/>
    <w:semiHidden/>
    <w:unhideWhenUsed/>
    <w:rsid w:val="00250D26"/>
    <w:rPr>
      <w:color w:val="605E5C"/>
      <w:shd w:val="clear" w:color="auto" w:fill="E1DFDD"/>
    </w:rPr>
  </w:style>
  <w:style w:type="character" w:styleId="UyteHipercze">
    <w:name w:val="FollowedHyperlink"/>
    <w:basedOn w:val="Domylnaczcionkaakapitu"/>
    <w:uiPriority w:val="99"/>
    <w:semiHidden/>
    <w:unhideWhenUsed/>
    <w:rsid w:val="00F30C38"/>
    <w:rPr>
      <w:color w:val="954F72" w:themeColor="followedHyperlink"/>
      <w:u w:val="single"/>
    </w:rPr>
  </w:style>
  <w:style w:type="paragraph" w:styleId="Bezodstpw">
    <w:name w:val="No Spacing"/>
    <w:uiPriority w:val="1"/>
    <w:qFormat/>
    <w:rsid w:val="00397947"/>
    <w:pPr>
      <w:spacing w:after="0" w:line="240" w:lineRule="auto"/>
    </w:pPr>
    <w:rPr>
      <w:kern w:val="2"/>
      <w14:ligatures w14:val="standardContextual"/>
    </w:rPr>
  </w:style>
  <w:style w:type="character" w:customStyle="1" w:styleId="Nagwek3Znak">
    <w:name w:val="Nagłówek 3 Znak"/>
    <w:basedOn w:val="Domylnaczcionkaakapitu"/>
    <w:link w:val="Nagwek3"/>
    <w:uiPriority w:val="9"/>
    <w:rsid w:val="00E201AE"/>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ED258C"/>
    <w:pPr>
      <w:outlineLvl w:val="9"/>
    </w:pPr>
    <w:rPr>
      <w:lang w:eastAsia="pl-PL"/>
    </w:rPr>
  </w:style>
  <w:style w:type="paragraph" w:styleId="Spistreci1">
    <w:name w:val="toc 1"/>
    <w:basedOn w:val="Normalny"/>
    <w:next w:val="Normalny"/>
    <w:autoRedefine/>
    <w:uiPriority w:val="39"/>
    <w:unhideWhenUsed/>
    <w:rsid w:val="00ED25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5653">
      <w:bodyDiv w:val="1"/>
      <w:marLeft w:val="0"/>
      <w:marRight w:val="0"/>
      <w:marTop w:val="0"/>
      <w:marBottom w:val="0"/>
      <w:divBdr>
        <w:top w:val="none" w:sz="0" w:space="0" w:color="auto"/>
        <w:left w:val="none" w:sz="0" w:space="0" w:color="auto"/>
        <w:bottom w:val="none" w:sz="0" w:space="0" w:color="auto"/>
        <w:right w:val="none" w:sz="0" w:space="0" w:color="auto"/>
      </w:divBdr>
    </w:div>
    <w:div w:id="809371326">
      <w:bodyDiv w:val="1"/>
      <w:marLeft w:val="0"/>
      <w:marRight w:val="0"/>
      <w:marTop w:val="0"/>
      <w:marBottom w:val="0"/>
      <w:divBdr>
        <w:top w:val="none" w:sz="0" w:space="0" w:color="auto"/>
        <w:left w:val="none" w:sz="0" w:space="0" w:color="auto"/>
        <w:bottom w:val="none" w:sz="0" w:space="0" w:color="auto"/>
        <w:right w:val="none" w:sz="0" w:space="0" w:color="auto"/>
      </w:divBdr>
    </w:div>
    <w:div w:id="1256552036">
      <w:bodyDiv w:val="1"/>
      <w:marLeft w:val="0"/>
      <w:marRight w:val="0"/>
      <w:marTop w:val="0"/>
      <w:marBottom w:val="0"/>
      <w:divBdr>
        <w:top w:val="none" w:sz="0" w:space="0" w:color="auto"/>
        <w:left w:val="none" w:sz="0" w:space="0" w:color="auto"/>
        <w:bottom w:val="none" w:sz="0" w:space="0" w:color="auto"/>
        <w:right w:val="none" w:sz="0" w:space="0" w:color="auto"/>
      </w:divBdr>
    </w:div>
    <w:div w:id="1879734540">
      <w:bodyDiv w:val="1"/>
      <w:marLeft w:val="0"/>
      <w:marRight w:val="0"/>
      <w:marTop w:val="0"/>
      <w:marBottom w:val="0"/>
      <w:divBdr>
        <w:top w:val="none" w:sz="0" w:space="0" w:color="auto"/>
        <w:left w:val="none" w:sz="0" w:space="0" w:color="auto"/>
        <w:bottom w:val="none" w:sz="0" w:space="0" w:color="auto"/>
        <w:right w:val="none" w:sz="0" w:space="0" w:color="auto"/>
      </w:divBdr>
    </w:div>
    <w:div w:id="1909877162">
      <w:bodyDiv w:val="1"/>
      <w:marLeft w:val="0"/>
      <w:marRight w:val="0"/>
      <w:marTop w:val="0"/>
      <w:marBottom w:val="0"/>
      <w:divBdr>
        <w:top w:val="none" w:sz="0" w:space="0" w:color="auto"/>
        <w:left w:val="none" w:sz="0" w:space="0" w:color="auto"/>
        <w:bottom w:val="none" w:sz="0" w:space="0" w:color="auto"/>
        <w:right w:val="none" w:sz="0" w:space="0" w:color="auto"/>
      </w:divBdr>
    </w:div>
    <w:div w:id="21211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jektyeuropejskie@vizja.pl" TargetMode="External"/><Relationship Id="rId18" Type="http://schemas.openxmlformats.org/officeDocument/2006/relationships/hyperlink" Target="mailto:projektyeuropejskie@vizja.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ozwojspoleczny.gov.pl/strony/dowiedz-sie-wiecej-o-programie/przestrzeganie-zasad-rownosciowych-2/" TargetMode="External"/><Relationship Id="rId7" Type="http://schemas.openxmlformats.org/officeDocument/2006/relationships/endnotes" Target="endnotes.xml"/><Relationship Id="rId12" Type="http://schemas.openxmlformats.org/officeDocument/2006/relationships/hyperlink" Target="https://vizja.pl/projekty-europejskie/zwiekszanie-efektywnosci-akademickiej-zarzadzanie-uczelnia-w-kontekscie-minimalizacji-drop-outu/" TargetMode="External"/><Relationship Id="rId17" Type="http://schemas.openxmlformats.org/officeDocument/2006/relationships/hyperlink" Target="https://vizja.pl/projekty-europejskie/kierunek-doskonalosc-systemowe-wsparcie-rozwoju-dydaktycznego-w-uczeln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zja.pl/projekty-europejskie/kierunek-doskonalosc-systemowe-wsparcie-rozwoju-dydaktycznego-w-uczelni/" TargetMode="External"/><Relationship Id="rId20"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zwojspoleczny.gov.pl/" TargetMode="External"/><Relationship Id="rId24" Type="http://schemas.openxmlformats.org/officeDocument/2006/relationships/hyperlink" Target="https://vizja.pl/projekty-europejskie/kierunek-doskonalosc-systemowe-wsparcie-rozwoju-dydaktycznego-w-uczelni/" TargetMode="External"/><Relationship Id="rId5" Type="http://schemas.openxmlformats.org/officeDocument/2006/relationships/webSettings" Target="webSettings.xml"/><Relationship Id="rId15" Type="http://schemas.openxmlformats.org/officeDocument/2006/relationships/hyperlink" Target="https://vizja.pl/projekty-europejskie/kierunek-doskonalosc-systemowe-wsparcie-rozwoju-dydaktycznego-w-uczelni/" TargetMode="External"/><Relationship Id="rId23" Type="http://schemas.openxmlformats.org/officeDocument/2006/relationships/hyperlink" Target="mailto:projektyeuropejskie@vizja.pl" TargetMode="External"/><Relationship Id="rId28" Type="http://schemas.openxmlformats.org/officeDocument/2006/relationships/theme" Target="theme/theme1.xml"/><Relationship Id="rId10" Type="http://schemas.openxmlformats.org/officeDocument/2006/relationships/hyperlink" Target="mailto:projektyeuropejskie@vizja.pl" TargetMode="External"/><Relationship Id="rId19" Type="http://schemas.openxmlformats.org/officeDocument/2006/relationships/hyperlink" Target="https://vizja.pl/projekty-europejskie/kierunek-doskonalosc-systemowe-wsparcie-rozwoju-dydaktycznego-w-uczelni/" TargetMode="External"/><Relationship Id="rId4" Type="http://schemas.openxmlformats.org/officeDocument/2006/relationships/settings" Target="settings.xml"/><Relationship Id="rId9" Type="http://schemas.openxmlformats.org/officeDocument/2006/relationships/hyperlink" Target="https://vizja.pl/projekty-europejskie/kierunek-doskonalosc-systemowe-wsparcie-rozwoju-dydaktycznego-w-uczelni/" TargetMode="External"/><Relationship Id="rId14" Type="http://schemas.openxmlformats.org/officeDocument/2006/relationships/hyperlink" Target="https://vizja.pl/projekty-europejskie/kierunek-doskonalosc-systemowe-wsparcie-rozwoju-dydaktycznego-w-uczelni/" TargetMode="External"/><Relationship Id="rId22" Type="http://schemas.openxmlformats.org/officeDocument/2006/relationships/hyperlink" Target="mailto:projektyeuropejskie@vizj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33D7-8C62-4AAB-B52C-9BD663F7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6402</Words>
  <Characters>38416</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Regulamin rekrutacji i uczestnictwa w projekcie pn. "Kierunek: Doskonałość – Systemowe Wsparcie Rozwoju Dydaktycznego w Uczelni"</vt:lpstr>
    </vt:vector>
  </TitlesOfParts>
  <Company>Uniwersytet VIZJA</Company>
  <LinksUpToDate>false</LinksUpToDate>
  <CharactersWithSpaces>44729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i uczestnictwa w projekcie pn. "Kierunek: Doskonałość – Systemowe Wsparcie Rozwoju Dydaktycznego w Uczelni"</dc:title>
  <dc:subject>Rekrutacja</dc:subject>
  <dc:creator>Magdalena Machnicka, Viki Kuklińska, Anna Dmoch</dc:creator>
  <cp:keywords>Rekrutacja; UE; FunduszeEuropejskie; FunduszeUE</cp:keywords>
  <dc:description>Regulamin rekrutacji i uczestnictwa w projekcie pn. "Kierunek: Doskonałość – Systemowe Wsparcie Rozwoju Dydaktycznego w Uczelni"</dc:description>
  <cp:lastModifiedBy>Magdalena Machnicka</cp:lastModifiedBy>
  <cp:revision>3</cp:revision>
  <cp:lastPrinted>2024-11-08T10:12:00Z</cp:lastPrinted>
  <dcterms:created xsi:type="dcterms:W3CDTF">2026-05-25T07:18:00Z</dcterms:created>
  <dcterms:modified xsi:type="dcterms:W3CDTF">2026-05-25T07:20:00Z</dcterms:modified>
  <cp:category>Regulamin</cp:category>
  <dc:language>polski</dc:language>
  <cp:version>1</cp:version>
</cp:coreProperties>
</file>